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1842DCDC" w:rsidR="00E90E49" w:rsidRPr="00CE0424" w:rsidRDefault="00821DB3" w:rsidP="00E35559">
      <w:pPr>
        <w:pStyle w:val="3GPPHeader"/>
        <w:spacing w:after="60"/>
        <w:rPr>
          <w:sz w:val="32"/>
          <w:szCs w:val="32"/>
          <w:highlight w:val="yellow"/>
        </w:rPr>
      </w:pPr>
      <w:r w:rsidRPr="00821DB3">
        <w:t>3GPP TSG RAN WG1 Ad-Hoc Meeting 1901</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87576D" w:rsidRPr="0087576D">
        <w:rPr>
          <w:sz w:val="32"/>
          <w:szCs w:val="32"/>
        </w:rPr>
        <w:t>R1-1900177</w:t>
      </w:r>
    </w:p>
    <w:p w14:paraId="06CCB2C4" w14:textId="32755198" w:rsidR="009E1BB6" w:rsidRPr="00CE0424" w:rsidRDefault="00821DB3" w:rsidP="009E1BB6">
      <w:pPr>
        <w:pStyle w:val="3GPPHeader"/>
      </w:pPr>
      <w:r w:rsidRPr="00DE3152">
        <w:rPr>
          <w:lang w:val="en-US"/>
        </w:rPr>
        <w:t>Taipei, Taiwan, 21</w:t>
      </w:r>
      <w:r w:rsidRPr="00DE3152">
        <w:rPr>
          <w:vertAlign w:val="superscript"/>
          <w:lang w:val="en-US"/>
        </w:rPr>
        <w:t>st</w:t>
      </w:r>
      <w:r w:rsidRPr="00DE3152">
        <w:rPr>
          <w:lang w:val="en-US"/>
        </w:rPr>
        <w:t xml:space="preserve"> – 25</w:t>
      </w:r>
      <w:r w:rsidRPr="00DE3152">
        <w:rPr>
          <w:vertAlign w:val="superscript"/>
          <w:lang w:val="en-US"/>
        </w:rPr>
        <w:t>th</w:t>
      </w:r>
      <w:r w:rsidRPr="00DE3152">
        <w:rPr>
          <w:lang w:val="en-US"/>
        </w:rPr>
        <w:t xml:space="preserve"> January 2019</w:t>
      </w:r>
    </w:p>
    <w:p w14:paraId="1F4608B5" w14:textId="77777777" w:rsidR="00E90E49" w:rsidRPr="00CE0424" w:rsidRDefault="00E90E49" w:rsidP="00357380">
      <w:pPr>
        <w:pStyle w:val="3GPPHeader"/>
      </w:pPr>
    </w:p>
    <w:p w14:paraId="5CC8B96E" w14:textId="7E2AF188" w:rsidR="00E90E49" w:rsidRPr="0087576D" w:rsidRDefault="00E90E49" w:rsidP="00311702">
      <w:pPr>
        <w:pStyle w:val="3GPPHeader"/>
        <w:rPr>
          <w:sz w:val="22"/>
          <w:szCs w:val="22"/>
          <w:lang w:val="sv-FI"/>
        </w:rPr>
      </w:pPr>
      <w:r w:rsidRPr="0087576D">
        <w:rPr>
          <w:sz w:val="22"/>
          <w:szCs w:val="22"/>
          <w:lang w:val="sv-FI"/>
        </w:rPr>
        <w:t>Agenda Item:</w:t>
      </w:r>
      <w:r w:rsidRPr="0087576D">
        <w:rPr>
          <w:sz w:val="22"/>
          <w:szCs w:val="22"/>
          <w:lang w:val="sv-FI"/>
        </w:rPr>
        <w:tab/>
      </w:r>
      <w:r w:rsidR="0087576D" w:rsidRPr="0087576D">
        <w:rPr>
          <w:sz w:val="22"/>
          <w:szCs w:val="22"/>
          <w:lang w:val="sv-FI"/>
        </w:rPr>
        <w:t>7.2.6.4</w:t>
      </w:r>
    </w:p>
    <w:p w14:paraId="1B7E9B36" w14:textId="77777777" w:rsidR="00E90E49" w:rsidRPr="0087576D" w:rsidRDefault="003D3C45" w:rsidP="00F64C2B">
      <w:pPr>
        <w:pStyle w:val="3GPPHeader"/>
        <w:rPr>
          <w:sz w:val="22"/>
          <w:szCs w:val="22"/>
        </w:rPr>
      </w:pPr>
      <w:r w:rsidRPr="0087576D">
        <w:rPr>
          <w:sz w:val="22"/>
          <w:szCs w:val="22"/>
        </w:rPr>
        <w:t>Source:</w:t>
      </w:r>
      <w:r w:rsidR="00E90E49" w:rsidRPr="0087576D">
        <w:rPr>
          <w:sz w:val="22"/>
          <w:szCs w:val="22"/>
        </w:rPr>
        <w:tab/>
      </w:r>
      <w:r w:rsidR="00F64C2B" w:rsidRPr="0087576D">
        <w:rPr>
          <w:sz w:val="22"/>
          <w:szCs w:val="22"/>
        </w:rPr>
        <w:t>Ericsson</w:t>
      </w:r>
    </w:p>
    <w:p w14:paraId="63152FD2" w14:textId="581FA9FB" w:rsidR="00E90E49" w:rsidRPr="0087576D" w:rsidRDefault="003D3C45" w:rsidP="00311702">
      <w:pPr>
        <w:pStyle w:val="3GPPHeader"/>
        <w:rPr>
          <w:sz w:val="22"/>
          <w:szCs w:val="22"/>
        </w:rPr>
      </w:pPr>
      <w:r w:rsidRPr="0087576D">
        <w:rPr>
          <w:sz w:val="22"/>
          <w:szCs w:val="22"/>
        </w:rPr>
        <w:t>Title:</w:t>
      </w:r>
      <w:r w:rsidR="00E90E49" w:rsidRPr="0087576D">
        <w:rPr>
          <w:sz w:val="22"/>
          <w:szCs w:val="22"/>
        </w:rPr>
        <w:tab/>
      </w:r>
      <w:r w:rsidR="0087576D" w:rsidRPr="0087576D">
        <w:rPr>
          <w:sz w:val="22"/>
          <w:szCs w:val="22"/>
        </w:rPr>
        <w:t>On Two Proposed 5QI Values</w:t>
      </w:r>
    </w:p>
    <w:p w14:paraId="3ED876E3" w14:textId="77777777" w:rsidR="00E90E49" w:rsidRPr="00CE0424" w:rsidRDefault="00E90E49" w:rsidP="00D546FF">
      <w:pPr>
        <w:pStyle w:val="3GPPHeader"/>
        <w:rPr>
          <w:sz w:val="22"/>
          <w:szCs w:val="22"/>
        </w:rPr>
      </w:pPr>
      <w:r w:rsidRPr="0087576D">
        <w:rPr>
          <w:sz w:val="22"/>
          <w:szCs w:val="22"/>
        </w:rPr>
        <w:t>Document for:</w:t>
      </w:r>
      <w:r w:rsidRPr="0087576D">
        <w:rPr>
          <w:sz w:val="22"/>
          <w:szCs w:val="22"/>
        </w:rPr>
        <w:tab/>
        <w:t>Discussion, Decision</w:t>
      </w:r>
    </w:p>
    <w:p w14:paraId="1155B603" w14:textId="77777777" w:rsidR="00E90E49" w:rsidRPr="00CE0424" w:rsidRDefault="00E90E49" w:rsidP="00E90E49"/>
    <w:p w14:paraId="203458E0" w14:textId="60206F55" w:rsidR="00E90E49" w:rsidRPr="00CE0424" w:rsidRDefault="00E90E49" w:rsidP="002550D1">
      <w:pPr>
        <w:pStyle w:val="Heading1"/>
      </w:pPr>
      <w:r w:rsidRPr="00CE0424">
        <w:t>Introduction</w:t>
      </w:r>
    </w:p>
    <w:p w14:paraId="463A063E" w14:textId="690586DC" w:rsidR="005D12E4" w:rsidRDefault="0053320F" w:rsidP="00CE0424">
      <w:pPr>
        <w:pStyle w:val="BodyText"/>
        <w:rPr>
          <w:rFonts w:eastAsia="Malgun Gothic" w:cs="Arial"/>
          <w:color w:val="000000"/>
        </w:rPr>
      </w:pPr>
      <w:proofErr w:type="gramStart"/>
      <w:r>
        <w:t>An</w:t>
      </w:r>
      <w:proofErr w:type="gramEnd"/>
      <w:r>
        <w:t xml:space="preserve"> LS has been sent from SA2 to RAN1 and RAN2, regarding </w:t>
      </w:r>
      <w:r w:rsidRPr="009A2706">
        <w:rPr>
          <w:rFonts w:eastAsia="Malgun Gothic" w:cs="Arial"/>
          <w:color w:val="000000"/>
        </w:rPr>
        <w:t>combination of QoS characteristics values</w:t>
      </w:r>
      <w:r>
        <w:rPr>
          <w:rFonts w:eastAsia="Malgun Gothic" w:cs="Arial"/>
          <w:color w:val="000000"/>
        </w:rPr>
        <w:t xml:space="preserve"> for </w:t>
      </w:r>
      <w:r w:rsidR="005D12E4">
        <w:rPr>
          <w:rFonts w:eastAsia="Malgun Gothic" w:cs="Arial"/>
          <w:color w:val="000000"/>
        </w:rPr>
        <w:t>e</w:t>
      </w:r>
      <w:r>
        <w:rPr>
          <w:rFonts w:eastAsia="Malgun Gothic" w:cs="Arial"/>
          <w:color w:val="000000"/>
        </w:rPr>
        <w:t xml:space="preserve">V2X services. </w:t>
      </w:r>
      <w:proofErr w:type="gramStart"/>
      <w:r w:rsidR="005D12E4">
        <w:rPr>
          <w:rFonts w:eastAsia="Malgun Gothic" w:cs="Arial"/>
          <w:color w:val="000000"/>
        </w:rPr>
        <w:t>In essence, two</w:t>
      </w:r>
      <w:proofErr w:type="gramEnd"/>
      <w:r w:rsidR="005D12E4">
        <w:rPr>
          <w:rFonts w:eastAsia="Malgun Gothic" w:cs="Arial"/>
          <w:color w:val="000000"/>
        </w:rPr>
        <w:t xml:space="preserve"> new standardized 5QI values are under consideration for eV2X services. RAN1 and RAN2 are requested to study if the proposed </w:t>
      </w:r>
      <w:r w:rsidR="005D12E4" w:rsidRPr="005D12E4">
        <w:rPr>
          <w:rFonts w:eastAsia="Malgun Gothic" w:cs="Arial"/>
          <w:color w:val="000000"/>
        </w:rPr>
        <w:t>new combinations of QoS characteristics values</w:t>
      </w:r>
      <w:r w:rsidR="005D12E4">
        <w:rPr>
          <w:rFonts w:eastAsia="Malgun Gothic" w:cs="Arial"/>
          <w:color w:val="000000"/>
        </w:rPr>
        <w:t xml:space="preserve"> are feasible or not.</w:t>
      </w:r>
    </w:p>
    <w:p w14:paraId="13423D4E" w14:textId="1D004341" w:rsidR="00477768" w:rsidRDefault="0053320F" w:rsidP="00CE0424">
      <w:pPr>
        <w:pStyle w:val="BodyText"/>
        <w:rPr>
          <w:rFonts w:eastAsia="Malgun Gothic" w:cs="Arial"/>
          <w:color w:val="000000"/>
        </w:rPr>
      </w:pPr>
      <w:r>
        <w:rPr>
          <w:rFonts w:eastAsia="Malgun Gothic" w:cs="Arial"/>
          <w:color w:val="000000"/>
        </w:rPr>
        <w:t>In this contribution we discuss how RAN1 may respond to SA2</w:t>
      </w:r>
      <w:r w:rsidR="00A8512B">
        <w:rPr>
          <w:rFonts w:eastAsia="Malgun Gothic" w:cs="Arial"/>
          <w:color w:val="000000"/>
        </w:rPr>
        <w:t xml:space="preserve"> and other RAN groups</w:t>
      </w:r>
      <w:r>
        <w:rPr>
          <w:rFonts w:eastAsia="Malgun Gothic" w:cs="Arial"/>
          <w:color w:val="000000"/>
        </w:rPr>
        <w:t xml:space="preserve"> for further information. We also discuss how the evaluations may be done in RAN1 in order to respond to SA2 regarding the feasibilities of the two new proposed 5QI values.</w:t>
      </w:r>
    </w:p>
    <w:p w14:paraId="0E45BC60" w14:textId="77777777" w:rsidR="0053320F" w:rsidRPr="00CE0424" w:rsidRDefault="0053320F" w:rsidP="00CE0424">
      <w:pPr>
        <w:pStyle w:val="BodyText"/>
      </w:pPr>
    </w:p>
    <w:p w14:paraId="6F368817" w14:textId="6DB09B6E" w:rsidR="004000E8" w:rsidRPr="00CE0424" w:rsidRDefault="00A8512B" w:rsidP="00CE0424">
      <w:pPr>
        <w:pStyle w:val="Heading1"/>
      </w:pPr>
      <w:r>
        <w:t xml:space="preserve">Clarification of Requirements </w:t>
      </w:r>
    </w:p>
    <w:p w14:paraId="1A0FC162" w14:textId="56FF57B7" w:rsidR="00F63950" w:rsidRDefault="00A8512B" w:rsidP="00F63950">
      <w:pPr>
        <w:pStyle w:val="Heading2"/>
      </w:pPr>
      <w:r>
        <w:t>Latency</w:t>
      </w:r>
      <w:r w:rsidR="005D12E4">
        <w:t xml:space="preserve"> Budget for </w:t>
      </w:r>
      <w:r>
        <w:t>Physical Layer</w:t>
      </w:r>
    </w:p>
    <w:p w14:paraId="104F1FE2" w14:textId="017ECAEA" w:rsidR="005D12E4" w:rsidRPr="0032397C" w:rsidRDefault="006C0BA9" w:rsidP="00CE0424">
      <w:pPr>
        <w:pStyle w:val="BodyText"/>
      </w:pPr>
      <w:r w:rsidRPr="0032397C">
        <w:t xml:space="preserve">In Table 1 below, the two </w:t>
      </w:r>
      <w:r w:rsidR="00DE6CAC" w:rsidRPr="0032397C">
        <w:t xml:space="preserve">new combinations from [1] are listed together with the existing new combinations of QoS characteristics values </w:t>
      </w:r>
      <w:r w:rsidR="0030148A" w:rsidRPr="0032397C">
        <w:t>of Delay Critical GBR type [2].</w:t>
      </w:r>
      <w:r w:rsidR="0032397C" w:rsidRPr="0032397C">
        <w:t xml:space="preserve"> The two eV2X services mapped to </w:t>
      </w:r>
      <w:r w:rsidR="0032397C">
        <w:t xml:space="preserve">existing standardized </w:t>
      </w:r>
      <w:r w:rsidR="0032397C" w:rsidRPr="0032397C">
        <w:t>5QI value</w:t>
      </w:r>
      <w:r w:rsidR="0032397C">
        <w:t xml:space="preserve">s </w:t>
      </w:r>
      <w:r w:rsidR="0032397C" w:rsidRPr="0032397C">
        <w:t>83 (</w:t>
      </w:r>
      <w:r w:rsidR="0032397C" w:rsidRPr="0032397C">
        <w:rPr>
          <w:rFonts w:cs="Arial"/>
          <w:i/>
          <w:szCs w:val="16"/>
        </w:rPr>
        <w:t xml:space="preserve">eV2X Messages (Platooning, Cooperative Lane Change with low </w:t>
      </w:r>
      <w:proofErr w:type="spellStart"/>
      <w:r w:rsidR="0032397C" w:rsidRPr="0032397C">
        <w:rPr>
          <w:rFonts w:cs="Arial"/>
          <w:i/>
          <w:szCs w:val="16"/>
        </w:rPr>
        <w:t>LoA</w:t>
      </w:r>
      <w:proofErr w:type="spellEnd"/>
      <w:r w:rsidR="0032397C" w:rsidRPr="0032397C">
        <w:t>) and 85 (</w:t>
      </w:r>
      <w:r w:rsidR="0032397C" w:rsidRPr="0032397C">
        <w:rPr>
          <w:rFonts w:cs="Arial"/>
          <w:i/>
          <w:szCs w:val="16"/>
        </w:rPr>
        <w:t>Remote Driving</w:t>
      </w:r>
      <w:r w:rsidR="0032397C" w:rsidRPr="0032397C">
        <w:t>) are also added in red font</w:t>
      </w:r>
      <w:r w:rsidR="0032397C">
        <w:t xml:space="preserve"> [4]</w:t>
      </w:r>
      <w:r w:rsidR="0032397C" w:rsidRPr="0032397C">
        <w:t xml:space="preserve">. </w:t>
      </w:r>
    </w:p>
    <w:p w14:paraId="3F7EAD74" w14:textId="77777777" w:rsidR="005D12E4" w:rsidRDefault="005D12E4" w:rsidP="00CE0424">
      <w:pPr>
        <w:pStyle w:val="BodyText"/>
      </w:pPr>
    </w:p>
    <w:p w14:paraId="22AE22D3" w14:textId="77777777" w:rsidR="005D12E4" w:rsidRDefault="005D12E4" w:rsidP="005D12E4">
      <w:pPr>
        <w:keepNext/>
        <w:spacing w:after="240"/>
        <w:jc w:val="center"/>
        <w:rPr>
          <w:lang w:val="en-US"/>
        </w:rPr>
      </w:pPr>
      <w:r w:rsidRPr="00420232">
        <w:rPr>
          <w:rFonts w:ascii="Arial" w:hAnsi="Arial"/>
          <w:b/>
          <w:bCs/>
          <w:lang w:eastAsia="zh-CN"/>
        </w:rPr>
        <w:t xml:space="preserve">Table </w:t>
      </w:r>
      <w:r w:rsidRPr="00420232">
        <w:rPr>
          <w:rFonts w:ascii="Arial" w:hAnsi="Arial"/>
          <w:b/>
          <w:bCs/>
          <w:lang w:eastAsia="zh-CN"/>
        </w:rPr>
        <w:fldChar w:fldCharType="begin"/>
      </w:r>
      <w:r w:rsidRPr="00420232">
        <w:rPr>
          <w:rFonts w:ascii="Arial" w:hAnsi="Arial"/>
          <w:b/>
          <w:bCs/>
          <w:lang w:eastAsia="zh-CN"/>
        </w:rPr>
        <w:instrText xml:space="preserve"> SEQ Table \* ARABIC </w:instrText>
      </w:r>
      <w:r w:rsidRPr="00420232">
        <w:rPr>
          <w:rFonts w:ascii="Arial" w:hAnsi="Arial"/>
          <w:b/>
          <w:bCs/>
          <w:lang w:eastAsia="zh-CN"/>
        </w:rPr>
        <w:fldChar w:fldCharType="separate"/>
      </w:r>
      <w:r w:rsidRPr="00420232">
        <w:rPr>
          <w:rFonts w:ascii="Arial" w:hAnsi="Arial"/>
          <w:b/>
          <w:bCs/>
          <w:noProof/>
          <w:lang w:eastAsia="zh-CN"/>
        </w:rPr>
        <w:t>1</w:t>
      </w:r>
      <w:r w:rsidRPr="00420232">
        <w:rPr>
          <w:rFonts w:ascii="Arial" w:hAnsi="Arial"/>
          <w:b/>
          <w:bCs/>
          <w:lang w:eastAsia="zh-CN"/>
        </w:rPr>
        <w:fldChar w:fldCharType="end"/>
      </w:r>
      <w:r w:rsidRPr="00420232">
        <w:rPr>
          <w:rFonts w:ascii="Arial" w:hAnsi="Arial"/>
          <w:b/>
          <w:bCs/>
          <w:lang w:eastAsia="zh-CN"/>
        </w:rPr>
        <w:t>. Proposed Standardized 5QIs to QoS characteristics mapping for Delay Critical GBR</w:t>
      </w:r>
      <w:r>
        <w:rPr>
          <w:rFonts w:ascii="Arial" w:hAnsi="Arial"/>
          <w:b/>
          <w:bCs/>
          <w:lang w:eastAsia="zh-CN"/>
        </w:rPr>
        <w:t xml:space="preserve"> </w:t>
      </w:r>
      <w:r w:rsidRPr="00420232">
        <w:rPr>
          <w:rFonts w:ascii="Arial" w:hAnsi="Arial"/>
          <w:b/>
          <w:bCs/>
          <w:lang w:eastAsia="zh-CN"/>
        </w:rPr>
        <w:t>(changes with respect to TS 23.501</w:t>
      </w:r>
      <w:r>
        <w:rPr>
          <w:rFonts w:ascii="Arial" w:hAnsi="Arial"/>
          <w:b/>
          <w:bCs/>
          <w:lang w:eastAsia="zh-CN"/>
        </w:rPr>
        <w:t xml:space="preserve"> [2] in red)</w:t>
      </w:r>
    </w:p>
    <w:tbl>
      <w:tblPr>
        <w:tblW w:w="1003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
        <w:gridCol w:w="1128"/>
        <w:gridCol w:w="918"/>
        <w:gridCol w:w="1086"/>
        <w:gridCol w:w="861"/>
        <w:gridCol w:w="1307"/>
        <w:gridCol w:w="1632"/>
        <w:gridCol w:w="2099"/>
      </w:tblGrid>
      <w:tr w:rsidR="005D12E4" w:rsidRPr="00A8512B" w14:paraId="26BB6B99" w14:textId="77777777" w:rsidTr="00A1232F">
        <w:tc>
          <w:tcPr>
            <w:tcW w:w="1013" w:type="dxa"/>
            <w:tcBorders>
              <w:top w:val="single" w:sz="12" w:space="0" w:color="auto"/>
              <w:left w:val="single" w:sz="12" w:space="0" w:color="auto"/>
              <w:bottom w:val="single" w:sz="12" w:space="0" w:color="auto"/>
              <w:right w:val="single" w:sz="12" w:space="0" w:color="auto"/>
            </w:tcBorders>
          </w:tcPr>
          <w:p w14:paraId="0D7AC5D5" w14:textId="77777777" w:rsidR="005D12E4" w:rsidRPr="00A8512B" w:rsidRDefault="005D12E4" w:rsidP="00A8512B">
            <w:pPr>
              <w:pStyle w:val="TAH"/>
              <w:rPr>
                <w:sz w:val="20"/>
                <w:lang w:val="en-GB" w:eastAsia="en-US"/>
              </w:rPr>
            </w:pPr>
            <w:r w:rsidRPr="00A8512B">
              <w:rPr>
                <w:sz w:val="20"/>
                <w:lang w:val="en-GB"/>
              </w:rPr>
              <w:t>5QI</w:t>
            </w:r>
          </w:p>
          <w:p w14:paraId="3A04334D" w14:textId="77777777" w:rsidR="005D12E4" w:rsidRPr="00A8512B" w:rsidRDefault="005D12E4" w:rsidP="00A8512B">
            <w:pPr>
              <w:pStyle w:val="BodyText"/>
              <w:jc w:val="center"/>
              <w:rPr>
                <w:b/>
              </w:rPr>
            </w:pPr>
            <w:r w:rsidRPr="00A8512B">
              <w:rPr>
                <w:b/>
              </w:rPr>
              <w:t>Value</w:t>
            </w:r>
          </w:p>
        </w:tc>
        <w:tc>
          <w:tcPr>
            <w:tcW w:w="1128" w:type="dxa"/>
            <w:tcBorders>
              <w:top w:val="single" w:sz="12" w:space="0" w:color="auto"/>
              <w:left w:val="single" w:sz="12" w:space="0" w:color="auto"/>
              <w:bottom w:val="nil"/>
              <w:right w:val="single" w:sz="12" w:space="0" w:color="auto"/>
            </w:tcBorders>
          </w:tcPr>
          <w:p w14:paraId="4E30F048" w14:textId="77777777" w:rsidR="005D12E4" w:rsidRPr="00A8512B" w:rsidRDefault="005D12E4" w:rsidP="00A8512B">
            <w:pPr>
              <w:pStyle w:val="BodyText"/>
              <w:jc w:val="center"/>
              <w:rPr>
                <w:b/>
              </w:rPr>
            </w:pPr>
            <w:r w:rsidRPr="00A8512B">
              <w:rPr>
                <w:b/>
              </w:rPr>
              <w:t>Resource Type</w:t>
            </w:r>
          </w:p>
        </w:tc>
        <w:tc>
          <w:tcPr>
            <w:tcW w:w="918" w:type="dxa"/>
            <w:tcBorders>
              <w:top w:val="single" w:sz="12" w:space="0" w:color="auto"/>
              <w:left w:val="single" w:sz="12" w:space="0" w:color="auto"/>
              <w:bottom w:val="single" w:sz="12" w:space="0" w:color="auto"/>
              <w:right w:val="single" w:sz="12" w:space="0" w:color="auto"/>
            </w:tcBorders>
          </w:tcPr>
          <w:p w14:paraId="467ED5CB" w14:textId="77777777" w:rsidR="005D12E4" w:rsidRPr="00A8512B" w:rsidRDefault="005D12E4" w:rsidP="00A8512B">
            <w:pPr>
              <w:pStyle w:val="BodyText"/>
              <w:jc w:val="center"/>
              <w:rPr>
                <w:b/>
              </w:rPr>
            </w:pPr>
            <w:r w:rsidRPr="00A8512B">
              <w:rPr>
                <w:b/>
              </w:rPr>
              <w:t>Default Priority Level</w:t>
            </w:r>
          </w:p>
        </w:tc>
        <w:tc>
          <w:tcPr>
            <w:tcW w:w="1087" w:type="dxa"/>
            <w:tcBorders>
              <w:top w:val="single" w:sz="12" w:space="0" w:color="auto"/>
              <w:left w:val="single" w:sz="12" w:space="0" w:color="auto"/>
              <w:bottom w:val="single" w:sz="12" w:space="0" w:color="auto"/>
              <w:right w:val="single" w:sz="12" w:space="0" w:color="auto"/>
            </w:tcBorders>
          </w:tcPr>
          <w:p w14:paraId="0ADCAC35" w14:textId="77777777" w:rsidR="005D12E4" w:rsidRPr="00A8512B" w:rsidRDefault="005D12E4" w:rsidP="00A8512B">
            <w:pPr>
              <w:pStyle w:val="BodyText"/>
              <w:jc w:val="center"/>
              <w:rPr>
                <w:b/>
              </w:rPr>
            </w:pPr>
            <w:r w:rsidRPr="00A8512B">
              <w:rPr>
                <w:b/>
              </w:rPr>
              <w:t>Packet Delay Budget</w:t>
            </w:r>
          </w:p>
        </w:tc>
        <w:tc>
          <w:tcPr>
            <w:tcW w:w="797" w:type="dxa"/>
            <w:tcBorders>
              <w:top w:val="single" w:sz="12" w:space="0" w:color="auto"/>
              <w:left w:val="single" w:sz="12" w:space="0" w:color="auto"/>
              <w:bottom w:val="single" w:sz="12" w:space="0" w:color="auto"/>
              <w:right w:val="single" w:sz="12" w:space="0" w:color="auto"/>
            </w:tcBorders>
          </w:tcPr>
          <w:p w14:paraId="4EC73077" w14:textId="77777777" w:rsidR="005D12E4" w:rsidRPr="00A8512B" w:rsidRDefault="005D12E4" w:rsidP="00A8512B">
            <w:pPr>
              <w:pStyle w:val="TAH"/>
              <w:rPr>
                <w:sz w:val="20"/>
                <w:lang w:val="en-GB"/>
              </w:rPr>
            </w:pPr>
            <w:r w:rsidRPr="00A8512B">
              <w:rPr>
                <w:sz w:val="20"/>
                <w:lang w:val="en-GB"/>
              </w:rPr>
              <w:t>Packet Error</w:t>
            </w:r>
          </w:p>
          <w:p w14:paraId="4A9B1C72" w14:textId="09DF2869" w:rsidR="005D12E4" w:rsidRPr="00A8512B" w:rsidRDefault="005D12E4" w:rsidP="00A8512B">
            <w:pPr>
              <w:pStyle w:val="BodyText"/>
              <w:jc w:val="center"/>
              <w:rPr>
                <w:b/>
              </w:rPr>
            </w:pPr>
            <w:r w:rsidRPr="00A8512B">
              <w:rPr>
                <w:b/>
              </w:rPr>
              <w:t>Rate</w:t>
            </w:r>
          </w:p>
        </w:tc>
        <w:tc>
          <w:tcPr>
            <w:tcW w:w="1314" w:type="dxa"/>
            <w:tcBorders>
              <w:top w:val="single" w:sz="12" w:space="0" w:color="auto"/>
              <w:left w:val="single" w:sz="12" w:space="0" w:color="auto"/>
              <w:bottom w:val="single" w:sz="12" w:space="0" w:color="auto"/>
              <w:right w:val="single" w:sz="12" w:space="0" w:color="auto"/>
            </w:tcBorders>
          </w:tcPr>
          <w:p w14:paraId="3B9F2BBD" w14:textId="77777777" w:rsidR="005D12E4" w:rsidRPr="00A8512B" w:rsidRDefault="005D12E4" w:rsidP="00A8512B">
            <w:pPr>
              <w:pStyle w:val="TAH"/>
              <w:rPr>
                <w:sz w:val="20"/>
                <w:lang w:val="en-GB"/>
              </w:rPr>
            </w:pPr>
            <w:r w:rsidRPr="00A8512B">
              <w:rPr>
                <w:sz w:val="20"/>
                <w:lang w:val="en-GB"/>
              </w:rPr>
              <w:t>Default Maximum Data Burst Volume</w:t>
            </w:r>
          </w:p>
          <w:p w14:paraId="645DC1D5" w14:textId="77777777" w:rsidR="005D12E4" w:rsidRPr="00A8512B" w:rsidRDefault="005D12E4" w:rsidP="00A8512B">
            <w:pPr>
              <w:pStyle w:val="BodyText"/>
              <w:jc w:val="center"/>
              <w:rPr>
                <w:b/>
              </w:rPr>
            </w:pPr>
            <w:r w:rsidRPr="00A8512B">
              <w:rPr>
                <w:b/>
              </w:rPr>
              <w:t>(NOTE 2)</w:t>
            </w:r>
          </w:p>
        </w:tc>
        <w:tc>
          <w:tcPr>
            <w:tcW w:w="1652" w:type="dxa"/>
            <w:tcBorders>
              <w:top w:val="single" w:sz="12" w:space="0" w:color="auto"/>
              <w:left w:val="single" w:sz="12" w:space="0" w:color="auto"/>
              <w:bottom w:val="single" w:sz="12" w:space="0" w:color="auto"/>
              <w:right w:val="single" w:sz="12" w:space="0" w:color="auto"/>
            </w:tcBorders>
          </w:tcPr>
          <w:p w14:paraId="7BE1EFDA" w14:textId="77777777" w:rsidR="005D12E4" w:rsidRPr="00A8512B" w:rsidRDefault="005D12E4" w:rsidP="00A8512B">
            <w:pPr>
              <w:pStyle w:val="TAH"/>
              <w:rPr>
                <w:sz w:val="20"/>
                <w:lang w:val="en-GB"/>
              </w:rPr>
            </w:pPr>
            <w:r w:rsidRPr="00A8512B">
              <w:rPr>
                <w:sz w:val="20"/>
                <w:lang w:val="en-GB"/>
              </w:rPr>
              <w:t>Default</w:t>
            </w:r>
          </w:p>
          <w:p w14:paraId="25BB787B" w14:textId="77777777" w:rsidR="005D12E4" w:rsidRPr="00A8512B" w:rsidRDefault="005D12E4" w:rsidP="00A8512B">
            <w:pPr>
              <w:pStyle w:val="BodyText"/>
              <w:jc w:val="center"/>
              <w:rPr>
                <w:b/>
              </w:rPr>
            </w:pPr>
            <w:r w:rsidRPr="00A8512B">
              <w:rPr>
                <w:b/>
              </w:rPr>
              <w:t>Averaging Window</w:t>
            </w:r>
          </w:p>
        </w:tc>
        <w:tc>
          <w:tcPr>
            <w:tcW w:w="2124" w:type="dxa"/>
            <w:tcBorders>
              <w:top w:val="single" w:sz="12" w:space="0" w:color="auto"/>
              <w:left w:val="single" w:sz="12" w:space="0" w:color="auto"/>
              <w:bottom w:val="single" w:sz="12" w:space="0" w:color="auto"/>
              <w:right w:val="single" w:sz="12" w:space="0" w:color="auto"/>
            </w:tcBorders>
          </w:tcPr>
          <w:p w14:paraId="2409CAF2" w14:textId="77777777" w:rsidR="005D12E4" w:rsidRPr="00A8512B" w:rsidRDefault="005D12E4" w:rsidP="00A8512B">
            <w:pPr>
              <w:pStyle w:val="BodyText"/>
              <w:jc w:val="center"/>
              <w:rPr>
                <w:b/>
              </w:rPr>
            </w:pPr>
            <w:r w:rsidRPr="00A8512B">
              <w:rPr>
                <w:b/>
              </w:rPr>
              <w:t>Example Services</w:t>
            </w:r>
          </w:p>
        </w:tc>
      </w:tr>
      <w:tr w:rsidR="005D12E4" w:rsidRPr="00BF56CC" w14:paraId="11DD20C5" w14:textId="77777777" w:rsidTr="00A1232F">
        <w:tc>
          <w:tcPr>
            <w:tcW w:w="1013" w:type="dxa"/>
            <w:tcBorders>
              <w:top w:val="single" w:sz="12" w:space="0" w:color="auto"/>
              <w:left w:val="single" w:sz="12" w:space="0" w:color="auto"/>
              <w:bottom w:val="single" w:sz="12" w:space="0" w:color="auto"/>
              <w:right w:val="single" w:sz="12" w:space="0" w:color="auto"/>
            </w:tcBorders>
            <w:hideMark/>
          </w:tcPr>
          <w:p w14:paraId="7F1BA392" w14:textId="77777777" w:rsidR="005D12E4" w:rsidRPr="00BF56CC" w:rsidRDefault="005D12E4" w:rsidP="00A1232F">
            <w:pPr>
              <w:pStyle w:val="BodyText"/>
            </w:pPr>
            <w:r w:rsidRPr="00BF56CC">
              <w:t>82</w:t>
            </w:r>
          </w:p>
        </w:tc>
        <w:tc>
          <w:tcPr>
            <w:tcW w:w="1128" w:type="dxa"/>
            <w:vMerge w:val="restart"/>
            <w:tcBorders>
              <w:top w:val="single" w:sz="12" w:space="0" w:color="auto"/>
              <w:left w:val="single" w:sz="12" w:space="0" w:color="auto"/>
              <w:right w:val="single" w:sz="12" w:space="0" w:color="auto"/>
            </w:tcBorders>
            <w:hideMark/>
          </w:tcPr>
          <w:p w14:paraId="625F13D2" w14:textId="77777777" w:rsidR="005D12E4" w:rsidRPr="00BF56CC" w:rsidRDefault="005D12E4" w:rsidP="00A1232F">
            <w:pPr>
              <w:pStyle w:val="BodyText"/>
            </w:pPr>
            <w:r w:rsidRPr="00BF56CC">
              <w:t>Delay Critical GBR</w:t>
            </w:r>
          </w:p>
        </w:tc>
        <w:tc>
          <w:tcPr>
            <w:tcW w:w="918" w:type="dxa"/>
            <w:tcBorders>
              <w:top w:val="single" w:sz="12" w:space="0" w:color="auto"/>
              <w:left w:val="single" w:sz="12" w:space="0" w:color="auto"/>
              <w:bottom w:val="single" w:sz="12" w:space="0" w:color="auto"/>
              <w:right w:val="single" w:sz="12" w:space="0" w:color="auto"/>
            </w:tcBorders>
            <w:hideMark/>
          </w:tcPr>
          <w:p w14:paraId="74883BD3" w14:textId="77777777" w:rsidR="005D12E4" w:rsidRPr="00BF56CC" w:rsidRDefault="005D12E4" w:rsidP="00A1232F">
            <w:pPr>
              <w:pStyle w:val="BodyText"/>
            </w:pPr>
            <w:r w:rsidRPr="00BF56CC">
              <w:t>19</w:t>
            </w:r>
          </w:p>
        </w:tc>
        <w:tc>
          <w:tcPr>
            <w:tcW w:w="1087" w:type="dxa"/>
            <w:tcBorders>
              <w:top w:val="single" w:sz="12" w:space="0" w:color="auto"/>
              <w:left w:val="single" w:sz="12" w:space="0" w:color="auto"/>
              <w:bottom w:val="single" w:sz="12" w:space="0" w:color="auto"/>
              <w:right w:val="single" w:sz="12" w:space="0" w:color="auto"/>
            </w:tcBorders>
            <w:hideMark/>
          </w:tcPr>
          <w:p w14:paraId="296BF402" w14:textId="77777777" w:rsidR="005D12E4" w:rsidRPr="00BF56CC" w:rsidRDefault="005D12E4" w:rsidP="00A1232F">
            <w:pPr>
              <w:pStyle w:val="BodyText"/>
            </w:pPr>
            <w:r w:rsidRPr="00BF56CC">
              <w:t>10 </w:t>
            </w:r>
            <w:proofErr w:type="spellStart"/>
            <w:r w:rsidRPr="00BF56CC">
              <w:t>ms</w:t>
            </w:r>
            <w:proofErr w:type="spellEnd"/>
            <w:r w:rsidRPr="00BF56CC">
              <w:br/>
              <w:t>(NOTE 4)</w:t>
            </w:r>
          </w:p>
        </w:tc>
        <w:tc>
          <w:tcPr>
            <w:tcW w:w="797" w:type="dxa"/>
            <w:tcBorders>
              <w:top w:val="single" w:sz="12" w:space="0" w:color="auto"/>
              <w:left w:val="single" w:sz="12" w:space="0" w:color="auto"/>
              <w:bottom w:val="single" w:sz="12" w:space="0" w:color="auto"/>
              <w:right w:val="single" w:sz="12" w:space="0" w:color="auto"/>
            </w:tcBorders>
            <w:hideMark/>
          </w:tcPr>
          <w:p w14:paraId="2D7CA900" w14:textId="77777777" w:rsidR="005D12E4" w:rsidRPr="00BF56CC" w:rsidRDefault="005D12E4" w:rsidP="00A1232F">
            <w:pPr>
              <w:pStyle w:val="BodyText"/>
            </w:pPr>
            <w:r w:rsidRPr="00BF56CC">
              <w:t>10</w:t>
            </w:r>
            <w:r w:rsidRPr="00BF56CC">
              <w:rPr>
                <w:vertAlign w:val="superscript"/>
              </w:rPr>
              <w:t>-4</w:t>
            </w:r>
          </w:p>
        </w:tc>
        <w:tc>
          <w:tcPr>
            <w:tcW w:w="1314" w:type="dxa"/>
            <w:tcBorders>
              <w:top w:val="single" w:sz="12" w:space="0" w:color="auto"/>
              <w:left w:val="single" w:sz="12" w:space="0" w:color="auto"/>
              <w:bottom w:val="single" w:sz="12" w:space="0" w:color="auto"/>
              <w:right w:val="single" w:sz="12" w:space="0" w:color="auto"/>
            </w:tcBorders>
            <w:hideMark/>
          </w:tcPr>
          <w:p w14:paraId="226C284A" w14:textId="77777777" w:rsidR="005D12E4" w:rsidRPr="00BF56CC" w:rsidRDefault="005D12E4" w:rsidP="00A1232F">
            <w:pPr>
              <w:pStyle w:val="BodyText"/>
            </w:pPr>
            <w:r w:rsidRPr="00BF56CC">
              <w:t>255 bytes</w:t>
            </w:r>
          </w:p>
        </w:tc>
        <w:tc>
          <w:tcPr>
            <w:tcW w:w="1652" w:type="dxa"/>
            <w:tcBorders>
              <w:top w:val="single" w:sz="12" w:space="0" w:color="auto"/>
              <w:left w:val="single" w:sz="12" w:space="0" w:color="auto"/>
              <w:bottom w:val="single" w:sz="12" w:space="0" w:color="auto"/>
              <w:right w:val="single" w:sz="12" w:space="0" w:color="auto"/>
            </w:tcBorders>
            <w:hideMark/>
          </w:tcPr>
          <w:p w14:paraId="2A5256B5" w14:textId="77777777" w:rsidR="005D12E4" w:rsidRPr="00BF56CC" w:rsidRDefault="005D12E4" w:rsidP="00A1232F">
            <w:pPr>
              <w:pStyle w:val="BodyText"/>
            </w:pPr>
            <w:r w:rsidRPr="00BF56CC">
              <w:t xml:space="preserve">2000 </w:t>
            </w:r>
            <w:proofErr w:type="spellStart"/>
            <w:r w:rsidRPr="00BF56CC">
              <w:t>ms</w:t>
            </w:r>
            <w:proofErr w:type="spellEnd"/>
          </w:p>
        </w:tc>
        <w:tc>
          <w:tcPr>
            <w:tcW w:w="2124" w:type="dxa"/>
            <w:tcBorders>
              <w:top w:val="single" w:sz="12" w:space="0" w:color="auto"/>
              <w:left w:val="single" w:sz="12" w:space="0" w:color="auto"/>
              <w:bottom w:val="single" w:sz="12" w:space="0" w:color="auto"/>
              <w:right w:val="single" w:sz="12" w:space="0" w:color="auto"/>
            </w:tcBorders>
            <w:hideMark/>
          </w:tcPr>
          <w:p w14:paraId="33D51D98" w14:textId="77777777" w:rsidR="005D12E4" w:rsidRPr="00BF56CC" w:rsidRDefault="005D12E4" w:rsidP="00A1232F">
            <w:pPr>
              <w:pStyle w:val="BodyText"/>
            </w:pPr>
            <w:r w:rsidRPr="00BF56CC">
              <w:t>Discrete Automation (see TS 22.261 [2])</w:t>
            </w:r>
          </w:p>
        </w:tc>
      </w:tr>
      <w:tr w:rsidR="005D12E4" w:rsidRPr="00BF56CC" w14:paraId="1F5E5827" w14:textId="77777777" w:rsidTr="00A1232F">
        <w:tc>
          <w:tcPr>
            <w:tcW w:w="1013" w:type="dxa"/>
            <w:tcBorders>
              <w:top w:val="single" w:sz="12" w:space="0" w:color="auto"/>
              <w:left w:val="single" w:sz="12" w:space="0" w:color="auto"/>
              <w:bottom w:val="single" w:sz="12" w:space="0" w:color="auto"/>
              <w:right w:val="single" w:sz="12" w:space="0" w:color="auto"/>
            </w:tcBorders>
            <w:hideMark/>
          </w:tcPr>
          <w:p w14:paraId="6B3EE328" w14:textId="77777777" w:rsidR="005D12E4" w:rsidRPr="00BF56CC" w:rsidRDefault="005D12E4" w:rsidP="00A1232F">
            <w:pPr>
              <w:pStyle w:val="BodyText"/>
            </w:pPr>
            <w:r w:rsidRPr="00BF56CC">
              <w:t>83</w:t>
            </w:r>
          </w:p>
        </w:tc>
        <w:tc>
          <w:tcPr>
            <w:tcW w:w="1128" w:type="dxa"/>
            <w:vMerge/>
            <w:tcBorders>
              <w:left w:val="single" w:sz="12" w:space="0" w:color="auto"/>
              <w:right w:val="single" w:sz="12" w:space="0" w:color="auto"/>
            </w:tcBorders>
          </w:tcPr>
          <w:p w14:paraId="669D5B35" w14:textId="77777777" w:rsidR="005D12E4" w:rsidRPr="00BF56CC" w:rsidRDefault="005D12E4" w:rsidP="00A1232F">
            <w:pPr>
              <w:pStyle w:val="BodyText"/>
            </w:pPr>
          </w:p>
        </w:tc>
        <w:tc>
          <w:tcPr>
            <w:tcW w:w="918" w:type="dxa"/>
            <w:tcBorders>
              <w:top w:val="single" w:sz="12" w:space="0" w:color="auto"/>
              <w:left w:val="single" w:sz="12" w:space="0" w:color="auto"/>
              <w:bottom w:val="single" w:sz="12" w:space="0" w:color="auto"/>
              <w:right w:val="single" w:sz="12" w:space="0" w:color="auto"/>
            </w:tcBorders>
            <w:hideMark/>
          </w:tcPr>
          <w:p w14:paraId="3DC0ECD3" w14:textId="77777777" w:rsidR="005D12E4" w:rsidRPr="00BF56CC" w:rsidRDefault="005D12E4" w:rsidP="00A1232F">
            <w:pPr>
              <w:pStyle w:val="BodyText"/>
            </w:pPr>
            <w:r w:rsidRPr="00BF56CC">
              <w:t>22</w:t>
            </w:r>
          </w:p>
        </w:tc>
        <w:tc>
          <w:tcPr>
            <w:tcW w:w="1087" w:type="dxa"/>
            <w:tcBorders>
              <w:top w:val="single" w:sz="12" w:space="0" w:color="auto"/>
              <w:left w:val="single" w:sz="12" w:space="0" w:color="auto"/>
              <w:bottom w:val="single" w:sz="12" w:space="0" w:color="auto"/>
              <w:right w:val="single" w:sz="12" w:space="0" w:color="auto"/>
            </w:tcBorders>
            <w:hideMark/>
          </w:tcPr>
          <w:p w14:paraId="2D4A3C10" w14:textId="77777777" w:rsidR="005D12E4" w:rsidRPr="00BF56CC" w:rsidRDefault="005D12E4" w:rsidP="00A1232F">
            <w:pPr>
              <w:pStyle w:val="BodyText"/>
            </w:pPr>
            <w:r w:rsidRPr="00BF56CC">
              <w:t>10 </w:t>
            </w:r>
            <w:proofErr w:type="spellStart"/>
            <w:r w:rsidRPr="00BF56CC">
              <w:t>ms</w:t>
            </w:r>
            <w:proofErr w:type="spellEnd"/>
            <w:r w:rsidRPr="00BF56CC">
              <w:br/>
              <w:t>(NOTE 4)</w:t>
            </w:r>
          </w:p>
        </w:tc>
        <w:tc>
          <w:tcPr>
            <w:tcW w:w="797" w:type="dxa"/>
            <w:tcBorders>
              <w:top w:val="single" w:sz="12" w:space="0" w:color="auto"/>
              <w:left w:val="single" w:sz="12" w:space="0" w:color="auto"/>
              <w:bottom w:val="single" w:sz="12" w:space="0" w:color="auto"/>
              <w:right w:val="single" w:sz="12" w:space="0" w:color="auto"/>
            </w:tcBorders>
            <w:hideMark/>
          </w:tcPr>
          <w:p w14:paraId="13EEEA63" w14:textId="77777777" w:rsidR="005D12E4" w:rsidRPr="00BF56CC" w:rsidRDefault="005D12E4" w:rsidP="00A1232F">
            <w:pPr>
              <w:pStyle w:val="BodyText"/>
            </w:pPr>
            <w:r w:rsidRPr="00BF56CC">
              <w:t>10</w:t>
            </w:r>
            <w:r w:rsidRPr="00BF56CC">
              <w:rPr>
                <w:vertAlign w:val="superscript"/>
              </w:rPr>
              <w:t>-4</w:t>
            </w:r>
          </w:p>
        </w:tc>
        <w:tc>
          <w:tcPr>
            <w:tcW w:w="1314" w:type="dxa"/>
            <w:tcBorders>
              <w:top w:val="single" w:sz="12" w:space="0" w:color="auto"/>
              <w:left w:val="single" w:sz="12" w:space="0" w:color="auto"/>
              <w:bottom w:val="single" w:sz="12" w:space="0" w:color="auto"/>
              <w:right w:val="single" w:sz="12" w:space="0" w:color="auto"/>
            </w:tcBorders>
            <w:hideMark/>
          </w:tcPr>
          <w:p w14:paraId="4FA290C3" w14:textId="77777777" w:rsidR="005D12E4" w:rsidRPr="00BF56CC" w:rsidRDefault="005D12E4" w:rsidP="00A1232F">
            <w:pPr>
              <w:pStyle w:val="BodyText"/>
            </w:pPr>
            <w:r w:rsidRPr="00BF56CC">
              <w:rPr>
                <w:lang w:val="x-none"/>
              </w:rPr>
              <w:t>1354</w:t>
            </w:r>
            <w:r w:rsidRPr="00BF56CC">
              <w:t xml:space="preserve"> bytes</w:t>
            </w:r>
          </w:p>
          <w:p w14:paraId="2A98568B" w14:textId="77777777" w:rsidR="005D12E4" w:rsidRPr="00BF56CC" w:rsidRDefault="005D12E4" w:rsidP="00A1232F">
            <w:pPr>
              <w:pStyle w:val="BodyText"/>
            </w:pPr>
            <w:r w:rsidRPr="00BF56CC">
              <w:t>(NOTE 3)</w:t>
            </w:r>
          </w:p>
        </w:tc>
        <w:tc>
          <w:tcPr>
            <w:tcW w:w="1652" w:type="dxa"/>
            <w:tcBorders>
              <w:top w:val="single" w:sz="12" w:space="0" w:color="auto"/>
              <w:left w:val="single" w:sz="12" w:space="0" w:color="auto"/>
              <w:bottom w:val="single" w:sz="12" w:space="0" w:color="auto"/>
              <w:right w:val="single" w:sz="12" w:space="0" w:color="auto"/>
            </w:tcBorders>
            <w:hideMark/>
          </w:tcPr>
          <w:p w14:paraId="313CD3D6" w14:textId="77777777" w:rsidR="005D12E4" w:rsidRPr="00BF56CC" w:rsidRDefault="005D12E4" w:rsidP="00A1232F">
            <w:pPr>
              <w:pStyle w:val="BodyText"/>
            </w:pPr>
            <w:r w:rsidRPr="00BF56CC">
              <w:t xml:space="preserve">2000 </w:t>
            </w:r>
            <w:proofErr w:type="spellStart"/>
            <w:r w:rsidRPr="00BF56CC">
              <w:t>ms</w:t>
            </w:r>
            <w:proofErr w:type="spellEnd"/>
          </w:p>
        </w:tc>
        <w:tc>
          <w:tcPr>
            <w:tcW w:w="2124" w:type="dxa"/>
            <w:tcBorders>
              <w:top w:val="single" w:sz="12" w:space="0" w:color="auto"/>
              <w:left w:val="single" w:sz="12" w:space="0" w:color="auto"/>
              <w:bottom w:val="single" w:sz="12" w:space="0" w:color="auto"/>
              <w:right w:val="single" w:sz="12" w:space="0" w:color="auto"/>
            </w:tcBorders>
            <w:hideMark/>
          </w:tcPr>
          <w:p w14:paraId="05977B35" w14:textId="0C44B0E3" w:rsidR="005D12E4" w:rsidRPr="00BF56CC" w:rsidRDefault="005D12E4" w:rsidP="00A1232F">
            <w:pPr>
              <w:pStyle w:val="BodyText"/>
            </w:pPr>
            <w:r w:rsidRPr="00BF56CC">
              <w:t>Discrete Automation (see TS 22.261 [2])</w:t>
            </w:r>
            <w:r w:rsidR="008C2518">
              <w:t>,</w:t>
            </w:r>
            <w:r w:rsidR="008C2518" w:rsidRPr="000C24A6">
              <w:rPr>
                <w:rFonts w:cs="Arial"/>
                <w:b/>
                <w:i/>
                <w:szCs w:val="16"/>
              </w:rPr>
              <w:t xml:space="preserve"> </w:t>
            </w:r>
            <w:r w:rsidR="008C2518" w:rsidRPr="008C2518">
              <w:rPr>
                <w:rFonts w:cs="Arial"/>
                <w:i/>
                <w:color w:val="FF0000"/>
                <w:szCs w:val="16"/>
              </w:rPr>
              <w:t xml:space="preserve">eV2X Messages </w:t>
            </w:r>
            <w:r w:rsidR="008C2518" w:rsidRPr="008C2518">
              <w:rPr>
                <w:rFonts w:cs="Arial"/>
                <w:i/>
                <w:color w:val="FF0000"/>
                <w:szCs w:val="16"/>
              </w:rPr>
              <w:lastRenderedPageBreak/>
              <w:t xml:space="preserve">(Platooning, Cooperative Lane Change with low </w:t>
            </w:r>
            <w:proofErr w:type="spellStart"/>
            <w:r w:rsidR="008C2518" w:rsidRPr="008C2518">
              <w:rPr>
                <w:rFonts w:cs="Arial"/>
                <w:i/>
                <w:color w:val="FF0000"/>
                <w:szCs w:val="16"/>
              </w:rPr>
              <w:t>LoA</w:t>
            </w:r>
            <w:proofErr w:type="spellEnd"/>
            <w:r w:rsidR="008C2518" w:rsidRPr="008C2518">
              <w:rPr>
                <w:rFonts w:cs="Arial"/>
                <w:i/>
                <w:color w:val="FF0000"/>
                <w:szCs w:val="16"/>
              </w:rPr>
              <w:t>; see TS 22.186 [4])</w:t>
            </w:r>
          </w:p>
        </w:tc>
      </w:tr>
      <w:tr w:rsidR="005D12E4" w:rsidRPr="00BF56CC" w14:paraId="02C46030" w14:textId="77777777" w:rsidTr="00A1232F">
        <w:tc>
          <w:tcPr>
            <w:tcW w:w="1013" w:type="dxa"/>
            <w:tcBorders>
              <w:top w:val="single" w:sz="12" w:space="0" w:color="auto"/>
              <w:left w:val="single" w:sz="12" w:space="0" w:color="auto"/>
              <w:bottom w:val="single" w:sz="12" w:space="0" w:color="auto"/>
              <w:right w:val="single" w:sz="12" w:space="0" w:color="auto"/>
            </w:tcBorders>
            <w:hideMark/>
          </w:tcPr>
          <w:p w14:paraId="016896FB" w14:textId="77777777" w:rsidR="005D12E4" w:rsidRPr="00BF56CC" w:rsidRDefault="005D12E4" w:rsidP="00A1232F">
            <w:pPr>
              <w:pStyle w:val="BodyText"/>
            </w:pPr>
            <w:r w:rsidRPr="00BF56CC">
              <w:lastRenderedPageBreak/>
              <w:t>84</w:t>
            </w:r>
          </w:p>
        </w:tc>
        <w:tc>
          <w:tcPr>
            <w:tcW w:w="1128" w:type="dxa"/>
            <w:vMerge/>
            <w:tcBorders>
              <w:left w:val="single" w:sz="12" w:space="0" w:color="auto"/>
              <w:right w:val="single" w:sz="12" w:space="0" w:color="auto"/>
            </w:tcBorders>
          </w:tcPr>
          <w:p w14:paraId="2474C140" w14:textId="77777777" w:rsidR="005D12E4" w:rsidRPr="00BF56CC" w:rsidRDefault="005D12E4" w:rsidP="00A1232F">
            <w:pPr>
              <w:pStyle w:val="BodyText"/>
            </w:pPr>
          </w:p>
        </w:tc>
        <w:tc>
          <w:tcPr>
            <w:tcW w:w="918" w:type="dxa"/>
            <w:tcBorders>
              <w:top w:val="single" w:sz="12" w:space="0" w:color="auto"/>
              <w:left w:val="single" w:sz="12" w:space="0" w:color="auto"/>
              <w:bottom w:val="single" w:sz="12" w:space="0" w:color="auto"/>
              <w:right w:val="single" w:sz="12" w:space="0" w:color="auto"/>
            </w:tcBorders>
            <w:hideMark/>
          </w:tcPr>
          <w:p w14:paraId="2E267238" w14:textId="77777777" w:rsidR="005D12E4" w:rsidRPr="00BF56CC" w:rsidRDefault="005D12E4" w:rsidP="00A1232F">
            <w:pPr>
              <w:pStyle w:val="BodyText"/>
            </w:pPr>
            <w:r w:rsidRPr="00BF56CC">
              <w:rPr>
                <w:lang w:val="x-none"/>
              </w:rPr>
              <w:t>24</w:t>
            </w:r>
          </w:p>
        </w:tc>
        <w:tc>
          <w:tcPr>
            <w:tcW w:w="1087" w:type="dxa"/>
            <w:tcBorders>
              <w:top w:val="single" w:sz="12" w:space="0" w:color="auto"/>
              <w:left w:val="single" w:sz="12" w:space="0" w:color="auto"/>
              <w:bottom w:val="single" w:sz="12" w:space="0" w:color="auto"/>
              <w:right w:val="single" w:sz="12" w:space="0" w:color="auto"/>
            </w:tcBorders>
            <w:hideMark/>
          </w:tcPr>
          <w:p w14:paraId="13F895A4" w14:textId="77777777" w:rsidR="005D12E4" w:rsidRPr="00BF56CC" w:rsidRDefault="005D12E4" w:rsidP="00A1232F">
            <w:pPr>
              <w:pStyle w:val="BodyText"/>
              <w:rPr>
                <w:lang w:val="x-none"/>
              </w:rPr>
            </w:pPr>
            <w:r w:rsidRPr="00BF56CC">
              <w:rPr>
                <w:lang w:val="x-none"/>
              </w:rPr>
              <w:t>30 </w:t>
            </w:r>
            <w:proofErr w:type="spellStart"/>
            <w:r w:rsidRPr="00BF56CC">
              <w:rPr>
                <w:lang w:val="x-none"/>
              </w:rPr>
              <w:t>ms</w:t>
            </w:r>
            <w:proofErr w:type="spellEnd"/>
          </w:p>
          <w:p w14:paraId="429174C1" w14:textId="77777777" w:rsidR="005D12E4" w:rsidRPr="00BF56CC" w:rsidRDefault="005D12E4" w:rsidP="00A1232F">
            <w:pPr>
              <w:pStyle w:val="BodyText"/>
            </w:pPr>
            <w:r w:rsidRPr="00BF56CC">
              <w:rPr>
                <w:lang w:val="x-none"/>
              </w:rPr>
              <w:t>(NOTE 6)</w:t>
            </w:r>
          </w:p>
        </w:tc>
        <w:tc>
          <w:tcPr>
            <w:tcW w:w="797" w:type="dxa"/>
            <w:tcBorders>
              <w:top w:val="single" w:sz="12" w:space="0" w:color="auto"/>
              <w:left w:val="single" w:sz="12" w:space="0" w:color="auto"/>
              <w:bottom w:val="single" w:sz="12" w:space="0" w:color="auto"/>
              <w:right w:val="single" w:sz="12" w:space="0" w:color="auto"/>
            </w:tcBorders>
            <w:hideMark/>
          </w:tcPr>
          <w:p w14:paraId="6138ECD6" w14:textId="77777777" w:rsidR="005D12E4" w:rsidRPr="00BF56CC" w:rsidRDefault="005D12E4" w:rsidP="00A1232F">
            <w:pPr>
              <w:pStyle w:val="BodyText"/>
            </w:pPr>
            <w:r w:rsidRPr="00BF56CC">
              <w:rPr>
                <w:lang w:val="x-none"/>
              </w:rPr>
              <w:t>10</w:t>
            </w:r>
            <w:r w:rsidRPr="00BF56CC">
              <w:rPr>
                <w:vertAlign w:val="superscript"/>
                <w:lang w:val="x-none"/>
              </w:rPr>
              <w:t>-5</w:t>
            </w:r>
          </w:p>
        </w:tc>
        <w:tc>
          <w:tcPr>
            <w:tcW w:w="1314" w:type="dxa"/>
            <w:tcBorders>
              <w:top w:val="single" w:sz="12" w:space="0" w:color="auto"/>
              <w:left w:val="single" w:sz="12" w:space="0" w:color="auto"/>
              <w:bottom w:val="single" w:sz="12" w:space="0" w:color="auto"/>
              <w:right w:val="single" w:sz="12" w:space="0" w:color="auto"/>
            </w:tcBorders>
            <w:hideMark/>
          </w:tcPr>
          <w:p w14:paraId="5FE2B24B" w14:textId="77777777" w:rsidR="005D12E4" w:rsidRPr="00BF56CC" w:rsidRDefault="005D12E4" w:rsidP="00A1232F">
            <w:pPr>
              <w:pStyle w:val="BodyText"/>
              <w:rPr>
                <w:lang w:val="de-DE"/>
              </w:rPr>
            </w:pPr>
            <w:r w:rsidRPr="00BF56CC">
              <w:t>1354 bytes</w:t>
            </w:r>
          </w:p>
          <w:p w14:paraId="16DEDE4F" w14:textId="77777777" w:rsidR="005D12E4" w:rsidRPr="00BF56CC" w:rsidRDefault="005D12E4" w:rsidP="00A1232F">
            <w:pPr>
              <w:pStyle w:val="BodyText"/>
            </w:pPr>
            <w:r w:rsidRPr="00BF56CC">
              <w:t>(</w:t>
            </w:r>
            <w:r w:rsidRPr="00BF56CC">
              <w:rPr>
                <w:lang w:val="x-none"/>
              </w:rPr>
              <w:t>NOTE 3)</w:t>
            </w:r>
          </w:p>
        </w:tc>
        <w:tc>
          <w:tcPr>
            <w:tcW w:w="1652" w:type="dxa"/>
            <w:tcBorders>
              <w:top w:val="single" w:sz="12" w:space="0" w:color="auto"/>
              <w:left w:val="single" w:sz="12" w:space="0" w:color="auto"/>
              <w:bottom w:val="single" w:sz="12" w:space="0" w:color="auto"/>
              <w:right w:val="single" w:sz="12" w:space="0" w:color="auto"/>
            </w:tcBorders>
            <w:hideMark/>
          </w:tcPr>
          <w:p w14:paraId="7F034839" w14:textId="77777777" w:rsidR="005D12E4" w:rsidRPr="00BF56CC" w:rsidRDefault="005D12E4" w:rsidP="00A1232F">
            <w:pPr>
              <w:pStyle w:val="BodyText"/>
            </w:pPr>
            <w:r w:rsidRPr="00BF56CC">
              <w:rPr>
                <w:lang w:val="x-none"/>
              </w:rPr>
              <w:t xml:space="preserve">2000 </w:t>
            </w:r>
            <w:proofErr w:type="spellStart"/>
            <w:r w:rsidRPr="00BF56CC">
              <w:rPr>
                <w:lang w:val="x-none"/>
              </w:rPr>
              <w:t>ms</w:t>
            </w:r>
            <w:proofErr w:type="spellEnd"/>
          </w:p>
        </w:tc>
        <w:tc>
          <w:tcPr>
            <w:tcW w:w="2124" w:type="dxa"/>
            <w:tcBorders>
              <w:top w:val="single" w:sz="12" w:space="0" w:color="auto"/>
              <w:left w:val="single" w:sz="12" w:space="0" w:color="auto"/>
              <w:bottom w:val="single" w:sz="12" w:space="0" w:color="auto"/>
              <w:right w:val="single" w:sz="12" w:space="0" w:color="auto"/>
            </w:tcBorders>
            <w:hideMark/>
          </w:tcPr>
          <w:p w14:paraId="3BF6B682" w14:textId="77777777" w:rsidR="005D12E4" w:rsidRPr="00BF56CC" w:rsidRDefault="005D12E4" w:rsidP="00A1232F">
            <w:pPr>
              <w:pStyle w:val="BodyText"/>
            </w:pPr>
            <w:r w:rsidRPr="00BF56CC">
              <w:rPr>
                <w:lang w:val="x-none"/>
              </w:rPr>
              <w:t>Intelligent transport systems (see TS 22.261 [2])</w:t>
            </w:r>
          </w:p>
        </w:tc>
      </w:tr>
      <w:tr w:rsidR="005D12E4" w:rsidRPr="00BF56CC" w14:paraId="65693905" w14:textId="77777777" w:rsidTr="00A1232F">
        <w:tc>
          <w:tcPr>
            <w:tcW w:w="1013" w:type="dxa"/>
            <w:tcBorders>
              <w:top w:val="single" w:sz="12" w:space="0" w:color="auto"/>
              <w:left w:val="single" w:sz="12" w:space="0" w:color="auto"/>
              <w:bottom w:val="single" w:sz="12" w:space="0" w:color="auto"/>
              <w:right w:val="single" w:sz="12" w:space="0" w:color="auto"/>
            </w:tcBorders>
            <w:hideMark/>
          </w:tcPr>
          <w:p w14:paraId="42AAC570" w14:textId="77777777" w:rsidR="005D12E4" w:rsidRPr="00BF56CC" w:rsidRDefault="005D12E4" w:rsidP="00A1232F">
            <w:pPr>
              <w:pStyle w:val="BodyText"/>
            </w:pPr>
            <w:r w:rsidRPr="00BF56CC">
              <w:t>85</w:t>
            </w:r>
          </w:p>
        </w:tc>
        <w:tc>
          <w:tcPr>
            <w:tcW w:w="1128" w:type="dxa"/>
            <w:vMerge/>
            <w:tcBorders>
              <w:left w:val="single" w:sz="12" w:space="0" w:color="auto"/>
              <w:right w:val="single" w:sz="12" w:space="0" w:color="auto"/>
            </w:tcBorders>
          </w:tcPr>
          <w:p w14:paraId="2C6535C7" w14:textId="77777777" w:rsidR="005D12E4" w:rsidRPr="00BF56CC" w:rsidRDefault="005D12E4" w:rsidP="00A1232F">
            <w:pPr>
              <w:pStyle w:val="BodyText"/>
            </w:pPr>
          </w:p>
        </w:tc>
        <w:tc>
          <w:tcPr>
            <w:tcW w:w="918" w:type="dxa"/>
            <w:tcBorders>
              <w:top w:val="single" w:sz="12" w:space="0" w:color="auto"/>
              <w:left w:val="single" w:sz="12" w:space="0" w:color="auto"/>
              <w:bottom w:val="single" w:sz="12" w:space="0" w:color="auto"/>
              <w:right w:val="single" w:sz="12" w:space="0" w:color="auto"/>
            </w:tcBorders>
            <w:hideMark/>
          </w:tcPr>
          <w:p w14:paraId="41CCE6D7" w14:textId="77777777" w:rsidR="005D12E4" w:rsidRPr="00BF56CC" w:rsidRDefault="005D12E4" w:rsidP="00A1232F">
            <w:pPr>
              <w:pStyle w:val="BodyText"/>
            </w:pPr>
            <w:r w:rsidRPr="00BF56CC">
              <w:rPr>
                <w:lang w:val="x-none"/>
              </w:rPr>
              <w:t>21</w:t>
            </w:r>
          </w:p>
        </w:tc>
        <w:tc>
          <w:tcPr>
            <w:tcW w:w="1087" w:type="dxa"/>
            <w:tcBorders>
              <w:top w:val="single" w:sz="12" w:space="0" w:color="auto"/>
              <w:left w:val="single" w:sz="12" w:space="0" w:color="auto"/>
              <w:bottom w:val="single" w:sz="12" w:space="0" w:color="auto"/>
              <w:right w:val="single" w:sz="12" w:space="0" w:color="auto"/>
            </w:tcBorders>
            <w:hideMark/>
          </w:tcPr>
          <w:p w14:paraId="6CC08DE2" w14:textId="77777777" w:rsidR="005D12E4" w:rsidRPr="00BF56CC" w:rsidRDefault="005D12E4" w:rsidP="00A1232F">
            <w:pPr>
              <w:pStyle w:val="BodyText"/>
              <w:rPr>
                <w:lang w:val="x-none"/>
              </w:rPr>
            </w:pPr>
            <w:r w:rsidRPr="00BF56CC">
              <w:rPr>
                <w:lang w:val="x-none"/>
              </w:rPr>
              <w:t>5 </w:t>
            </w:r>
            <w:proofErr w:type="spellStart"/>
            <w:r w:rsidRPr="00BF56CC">
              <w:rPr>
                <w:lang w:val="x-none"/>
              </w:rPr>
              <w:t>ms</w:t>
            </w:r>
            <w:proofErr w:type="spellEnd"/>
          </w:p>
          <w:p w14:paraId="321017C1" w14:textId="77777777" w:rsidR="005D12E4" w:rsidRPr="00BF56CC" w:rsidRDefault="005D12E4" w:rsidP="00A1232F">
            <w:pPr>
              <w:pStyle w:val="BodyText"/>
            </w:pPr>
            <w:r w:rsidRPr="00BF56CC">
              <w:rPr>
                <w:lang w:val="x-none"/>
              </w:rPr>
              <w:t>(NOTE 5)</w:t>
            </w:r>
          </w:p>
        </w:tc>
        <w:tc>
          <w:tcPr>
            <w:tcW w:w="797" w:type="dxa"/>
            <w:tcBorders>
              <w:top w:val="single" w:sz="12" w:space="0" w:color="auto"/>
              <w:left w:val="single" w:sz="12" w:space="0" w:color="auto"/>
              <w:bottom w:val="single" w:sz="12" w:space="0" w:color="auto"/>
              <w:right w:val="single" w:sz="12" w:space="0" w:color="auto"/>
            </w:tcBorders>
            <w:hideMark/>
          </w:tcPr>
          <w:p w14:paraId="2E6C1C4F" w14:textId="77777777" w:rsidR="005D12E4" w:rsidRPr="00BF56CC" w:rsidRDefault="005D12E4" w:rsidP="00A1232F">
            <w:pPr>
              <w:pStyle w:val="BodyText"/>
            </w:pPr>
            <w:r w:rsidRPr="00BF56CC">
              <w:rPr>
                <w:lang w:val="x-none"/>
              </w:rPr>
              <w:t>10</w:t>
            </w:r>
            <w:r w:rsidRPr="00BF56CC">
              <w:rPr>
                <w:vertAlign w:val="superscript"/>
                <w:lang w:val="x-none"/>
              </w:rPr>
              <w:t>-5</w:t>
            </w:r>
          </w:p>
        </w:tc>
        <w:tc>
          <w:tcPr>
            <w:tcW w:w="1314" w:type="dxa"/>
            <w:tcBorders>
              <w:top w:val="single" w:sz="12" w:space="0" w:color="auto"/>
              <w:left w:val="single" w:sz="12" w:space="0" w:color="auto"/>
              <w:bottom w:val="single" w:sz="12" w:space="0" w:color="auto"/>
              <w:right w:val="single" w:sz="12" w:space="0" w:color="auto"/>
            </w:tcBorders>
            <w:hideMark/>
          </w:tcPr>
          <w:p w14:paraId="0486CA56" w14:textId="77777777" w:rsidR="005D12E4" w:rsidRPr="00BF56CC" w:rsidRDefault="005D12E4" w:rsidP="00A1232F">
            <w:pPr>
              <w:pStyle w:val="BodyText"/>
            </w:pPr>
            <w:r w:rsidRPr="00BF56CC">
              <w:rPr>
                <w:lang w:val="x-none"/>
              </w:rPr>
              <w:t>255 bytes</w:t>
            </w:r>
          </w:p>
        </w:tc>
        <w:tc>
          <w:tcPr>
            <w:tcW w:w="1652" w:type="dxa"/>
            <w:tcBorders>
              <w:top w:val="single" w:sz="12" w:space="0" w:color="auto"/>
              <w:left w:val="single" w:sz="12" w:space="0" w:color="auto"/>
              <w:bottom w:val="single" w:sz="12" w:space="0" w:color="auto"/>
              <w:right w:val="single" w:sz="12" w:space="0" w:color="auto"/>
            </w:tcBorders>
            <w:hideMark/>
          </w:tcPr>
          <w:p w14:paraId="420CEB3B" w14:textId="77777777" w:rsidR="005D12E4" w:rsidRPr="00BF56CC" w:rsidRDefault="005D12E4" w:rsidP="00A1232F">
            <w:pPr>
              <w:pStyle w:val="BodyText"/>
            </w:pPr>
            <w:r w:rsidRPr="00BF56CC">
              <w:rPr>
                <w:lang w:val="x-none"/>
              </w:rPr>
              <w:t xml:space="preserve">2000 </w:t>
            </w:r>
            <w:proofErr w:type="spellStart"/>
            <w:r w:rsidRPr="00BF56CC">
              <w:rPr>
                <w:lang w:val="x-none"/>
              </w:rPr>
              <w:t>ms</w:t>
            </w:r>
            <w:proofErr w:type="spellEnd"/>
          </w:p>
        </w:tc>
        <w:tc>
          <w:tcPr>
            <w:tcW w:w="2124" w:type="dxa"/>
            <w:tcBorders>
              <w:top w:val="single" w:sz="12" w:space="0" w:color="auto"/>
              <w:left w:val="single" w:sz="12" w:space="0" w:color="auto"/>
              <w:bottom w:val="single" w:sz="12" w:space="0" w:color="auto"/>
              <w:right w:val="single" w:sz="12" w:space="0" w:color="auto"/>
            </w:tcBorders>
            <w:hideMark/>
          </w:tcPr>
          <w:p w14:paraId="04A913CC" w14:textId="386EC33C" w:rsidR="005D12E4" w:rsidRPr="00BF56CC" w:rsidRDefault="005D12E4" w:rsidP="00A1232F">
            <w:pPr>
              <w:pStyle w:val="BodyText"/>
            </w:pPr>
            <w:r w:rsidRPr="00BF56CC">
              <w:rPr>
                <w:lang w:val="x-none"/>
              </w:rPr>
              <w:t>Electricity Distribution- high voltage (see TS 22.261 [2])</w:t>
            </w:r>
            <w:r w:rsidR="008C2518">
              <w:rPr>
                <w:lang w:val="en-US"/>
              </w:rPr>
              <w:t>,</w:t>
            </w:r>
            <w:r w:rsidR="008C2518" w:rsidRPr="000C24A6">
              <w:rPr>
                <w:rFonts w:cs="Arial"/>
                <w:b/>
                <w:i/>
                <w:szCs w:val="16"/>
              </w:rPr>
              <w:t xml:space="preserve"> </w:t>
            </w:r>
            <w:r w:rsidR="008C2518" w:rsidRPr="008C2518">
              <w:rPr>
                <w:rFonts w:cs="Arial"/>
                <w:i/>
                <w:color w:val="FF0000"/>
                <w:szCs w:val="16"/>
              </w:rPr>
              <w:t>Remote Driving (see TS 22.186 [4])</w:t>
            </w:r>
          </w:p>
        </w:tc>
      </w:tr>
      <w:tr w:rsidR="005D12E4" w:rsidRPr="00936AC9" w14:paraId="266AC0D7" w14:textId="77777777" w:rsidTr="00A1232F">
        <w:tc>
          <w:tcPr>
            <w:tcW w:w="1013" w:type="dxa"/>
            <w:tcBorders>
              <w:top w:val="single" w:sz="12" w:space="0" w:color="auto"/>
              <w:left w:val="single" w:sz="12" w:space="0" w:color="auto"/>
              <w:bottom w:val="single" w:sz="12" w:space="0" w:color="auto"/>
              <w:right w:val="single" w:sz="12" w:space="0" w:color="auto"/>
            </w:tcBorders>
          </w:tcPr>
          <w:p w14:paraId="10BD72B3" w14:textId="451ABBBA" w:rsidR="005D12E4" w:rsidRPr="00936AC9" w:rsidRDefault="005D12E4" w:rsidP="00A1232F">
            <w:pPr>
              <w:pStyle w:val="BodyText"/>
              <w:rPr>
                <w:color w:val="FF0000"/>
              </w:rPr>
            </w:pPr>
            <w:r w:rsidRPr="00936AC9">
              <w:rPr>
                <w:color w:val="FF0000"/>
              </w:rPr>
              <w:t>New Value</w:t>
            </w:r>
            <w:r w:rsidR="00E53C86">
              <w:rPr>
                <w:color w:val="FF0000"/>
              </w:rPr>
              <w:t xml:space="preserve"> #1</w:t>
            </w:r>
          </w:p>
        </w:tc>
        <w:tc>
          <w:tcPr>
            <w:tcW w:w="1128" w:type="dxa"/>
            <w:vMerge/>
            <w:tcBorders>
              <w:left w:val="single" w:sz="12" w:space="0" w:color="auto"/>
              <w:right w:val="single" w:sz="12" w:space="0" w:color="auto"/>
            </w:tcBorders>
          </w:tcPr>
          <w:p w14:paraId="4EE5F67F" w14:textId="77777777" w:rsidR="005D12E4" w:rsidRPr="00936AC9" w:rsidRDefault="005D12E4" w:rsidP="00A1232F">
            <w:pPr>
              <w:pStyle w:val="BodyText"/>
              <w:rPr>
                <w:color w:val="FF0000"/>
              </w:rPr>
            </w:pPr>
          </w:p>
        </w:tc>
        <w:tc>
          <w:tcPr>
            <w:tcW w:w="918" w:type="dxa"/>
            <w:tcBorders>
              <w:top w:val="single" w:sz="12" w:space="0" w:color="auto"/>
              <w:left w:val="single" w:sz="12" w:space="0" w:color="auto"/>
              <w:bottom w:val="single" w:sz="12" w:space="0" w:color="auto"/>
              <w:right w:val="single" w:sz="12" w:space="0" w:color="auto"/>
            </w:tcBorders>
          </w:tcPr>
          <w:p w14:paraId="672E4C30" w14:textId="77777777" w:rsidR="005D12E4" w:rsidRPr="00936AC9" w:rsidRDefault="005D12E4" w:rsidP="00A1232F">
            <w:pPr>
              <w:pStyle w:val="BodyText"/>
              <w:rPr>
                <w:color w:val="FF0000"/>
                <w:lang w:val="en-US"/>
              </w:rPr>
            </w:pPr>
          </w:p>
        </w:tc>
        <w:tc>
          <w:tcPr>
            <w:tcW w:w="1087" w:type="dxa"/>
            <w:tcBorders>
              <w:top w:val="single" w:sz="12" w:space="0" w:color="auto"/>
              <w:left w:val="single" w:sz="12" w:space="0" w:color="auto"/>
              <w:bottom w:val="single" w:sz="12" w:space="0" w:color="auto"/>
              <w:right w:val="single" w:sz="12" w:space="0" w:color="auto"/>
            </w:tcBorders>
          </w:tcPr>
          <w:p w14:paraId="762DB669" w14:textId="77777777" w:rsidR="005D12E4" w:rsidRPr="00936AC9" w:rsidRDefault="005D12E4" w:rsidP="00A1232F">
            <w:pPr>
              <w:pStyle w:val="BodyText"/>
              <w:rPr>
                <w:color w:val="FF0000"/>
                <w:lang w:val="x-none"/>
              </w:rPr>
            </w:pPr>
            <w:r w:rsidRPr="00BF56CC">
              <w:rPr>
                <w:color w:val="FF0000"/>
                <w:lang w:val="x-none"/>
              </w:rPr>
              <w:t>5 </w:t>
            </w:r>
            <w:proofErr w:type="spellStart"/>
            <w:r w:rsidRPr="00BF56CC">
              <w:rPr>
                <w:color w:val="FF0000"/>
                <w:lang w:val="x-none"/>
              </w:rPr>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52BBC657" w14:textId="77777777" w:rsidR="005D12E4" w:rsidRPr="00936AC9" w:rsidRDefault="005D12E4" w:rsidP="00A1232F">
            <w:pPr>
              <w:pStyle w:val="BodyText"/>
              <w:rPr>
                <w:color w:val="FF0000"/>
                <w:lang w:val="x-none"/>
              </w:rPr>
            </w:pPr>
            <w:r w:rsidRPr="00936AC9">
              <w:rPr>
                <w:rFonts w:cs="Arial"/>
                <w:color w:val="FF0000"/>
              </w:rPr>
              <w:t>10</w:t>
            </w:r>
            <w:r w:rsidRPr="00936AC9">
              <w:rPr>
                <w:rFonts w:cs="Arial"/>
                <w:color w:val="FF0000"/>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08B4DC8A" w14:textId="77777777" w:rsidR="005D12E4" w:rsidRPr="00936AC9" w:rsidRDefault="005D12E4" w:rsidP="00A1232F">
            <w:pPr>
              <w:pStyle w:val="BodyText"/>
              <w:rPr>
                <w:color w:val="FF0000"/>
                <w:lang w:val="x-none"/>
              </w:rPr>
            </w:pPr>
            <w:r w:rsidRPr="00936AC9">
              <w:rPr>
                <w:rFonts w:cs="Arial"/>
                <w:color w:val="FF0000"/>
              </w:rPr>
              <w:t>1354 bytes</w:t>
            </w:r>
          </w:p>
        </w:tc>
        <w:tc>
          <w:tcPr>
            <w:tcW w:w="1652" w:type="dxa"/>
            <w:tcBorders>
              <w:top w:val="single" w:sz="12" w:space="0" w:color="auto"/>
              <w:left w:val="single" w:sz="12" w:space="0" w:color="auto"/>
              <w:bottom w:val="single" w:sz="12" w:space="0" w:color="auto"/>
              <w:right w:val="single" w:sz="12" w:space="0" w:color="auto"/>
            </w:tcBorders>
          </w:tcPr>
          <w:p w14:paraId="1D7D40F3" w14:textId="77777777" w:rsidR="005D12E4" w:rsidRPr="00936AC9" w:rsidRDefault="005D12E4" w:rsidP="00A1232F">
            <w:pPr>
              <w:pStyle w:val="BodyText"/>
              <w:rPr>
                <w:color w:val="FF0000"/>
                <w:lang w:val="en-US"/>
              </w:rPr>
            </w:pPr>
          </w:p>
        </w:tc>
        <w:tc>
          <w:tcPr>
            <w:tcW w:w="2124" w:type="dxa"/>
            <w:tcBorders>
              <w:top w:val="single" w:sz="12" w:space="0" w:color="auto"/>
              <w:left w:val="single" w:sz="12" w:space="0" w:color="auto"/>
              <w:bottom w:val="single" w:sz="12" w:space="0" w:color="auto"/>
              <w:right w:val="single" w:sz="12" w:space="0" w:color="auto"/>
            </w:tcBorders>
          </w:tcPr>
          <w:p w14:paraId="69316133" w14:textId="77777777" w:rsidR="005D12E4" w:rsidRPr="00936AC9" w:rsidRDefault="005D12E4" w:rsidP="00A1232F">
            <w:pPr>
              <w:pStyle w:val="BodyText"/>
              <w:rPr>
                <w:color w:val="FF0000"/>
                <w:lang w:val="x-none"/>
              </w:rPr>
            </w:pPr>
            <w:r w:rsidRPr="00936AC9">
              <w:rPr>
                <w:rFonts w:cs="Arial"/>
                <w:i/>
                <w:color w:val="FF0000"/>
                <w:szCs w:val="16"/>
              </w:rPr>
              <w:t xml:space="preserve">eV2X messages (Collision Avoidance, </w:t>
            </w:r>
            <w:proofErr w:type="gramStart"/>
            <w:r w:rsidRPr="00936AC9">
              <w:rPr>
                <w:rFonts w:cs="Arial"/>
                <w:i/>
                <w:color w:val="FF0000"/>
                <w:szCs w:val="16"/>
              </w:rPr>
              <w:t>Platooning</w:t>
            </w:r>
            <w:proofErr w:type="gramEnd"/>
            <w:r w:rsidRPr="00936AC9">
              <w:rPr>
                <w:rFonts w:cs="Arial"/>
                <w:i/>
                <w:color w:val="FF0000"/>
                <w:szCs w:val="16"/>
              </w:rPr>
              <w:t xml:space="preserve"> with high </w:t>
            </w:r>
            <w:proofErr w:type="spellStart"/>
            <w:r w:rsidRPr="00936AC9">
              <w:rPr>
                <w:rFonts w:cs="Arial"/>
                <w:i/>
                <w:color w:val="FF0000"/>
                <w:szCs w:val="16"/>
              </w:rPr>
              <w:t>LoA</w:t>
            </w:r>
            <w:proofErr w:type="spellEnd"/>
            <w:r w:rsidRPr="00936AC9">
              <w:rPr>
                <w:rFonts w:cs="Arial"/>
                <w:i/>
                <w:color w:val="FF0000"/>
                <w:szCs w:val="16"/>
              </w:rPr>
              <w:t xml:space="preserve"> (see TS 22.186))</w:t>
            </w:r>
          </w:p>
        </w:tc>
      </w:tr>
      <w:tr w:rsidR="005D12E4" w:rsidRPr="00936AC9" w14:paraId="0AB5D027" w14:textId="77777777" w:rsidTr="00A1232F">
        <w:tc>
          <w:tcPr>
            <w:tcW w:w="1013" w:type="dxa"/>
            <w:tcBorders>
              <w:top w:val="single" w:sz="12" w:space="0" w:color="auto"/>
              <w:left w:val="single" w:sz="12" w:space="0" w:color="auto"/>
              <w:bottom w:val="single" w:sz="12" w:space="0" w:color="auto"/>
              <w:right w:val="single" w:sz="12" w:space="0" w:color="auto"/>
            </w:tcBorders>
          </w:tcPr>
          <w:p w14:paraId="6874AD61" w14:textId="5AA89213" w:rsidR="005D12E4" w:rsidRPr="00936AC9" w:rsidRDefault="005D12E4" w:rsidP="00A1232F">
            <w:pPr>
              <w:pStyle w:val="BodyText"/>
              <w:rPr>
                <w:color w:val="FF0000"/>
              </w:rPr>
            </w:pPr>
            <w:r w:rsidRPr="00936AC9">
              <w:rPr>
                <w:color w:val="FF0000"/>
              </w:rPr>
              <w:t>New Value</w:t>
            </w:r>
            <w:r w:rsidR="00E53C86">
              <w:rPr>
                <w:color w:val="FF0000"/>
              </w:rPr>
              <w:t xml:space="preserve"> #2</w:t>
            </w:r>
          </w:p>
        </w:tc>
        <w:tc>
          <w:tcPr>
            <w:tcW w:w="1128" w:type="dxa"/>
            <w:vMerge/>
            <w:tcBorders>
              <w:left w:val="single" w:sz="12" w:space="0" w:color="auto"/>
              <w:bottom w:val="single" w:sz="4" w:space="0" w:color="auto"/>
              <w:right w:val="single" w:sz="12" w:space="0" w:color="auto"/>
            </w:tcBorders>
          </w:tcPr>
          <w:p w14:paraId="5F2C41B2" w14:textId="77777777" w:rsidR="005D12E4" w:rsidRPr="00936AC9" w:rsidRDefault="005D12E4" w:rsidP="00A1232F">
            <w:pPr>
              <w:pStyle w:val="BodyText"/>
              <w:rPr>
                <w:color w:val="FF0000"/>
              </w:rPr>
            </w:pPr>
          </w:p>
        </w:tc>
        <w:tc>
          <w:tcPr>
            <w:tcW w:w="918" w:type="dxa"/>
            <w:tcBorders>
              <w:top w:val="single" w:sz="12" w:space="0" w:color="auto"/>
              <w:left w:val="single" w:sz="12" w:space="0" w:color="auto"/>
              <w:bottom w:val="single" w:sz="12" w:space="0" w:color="auto"/>
              <w:right w:val="single" w:sz="12" w:space="0" w:color="auto"/>
            </w:tcBorders>
          </w:tcPr>
          <w:p w14:paraId="3FE1333D" w14:textId="77777777" w:rsidR="005D12E4" w:rsidRPr="00936AC9" w:rsidRDefault="005D12E4" w:rsidP="00A1232F">
            <w:pPr>
              <w:pStyle w:val="BodyText"/>
              <w:rPr>
                <w:color w:val="FF0000"/>
                <w:lang w:val="x-none"/>
              </w:rPr>
            </w:pPr>
          </w:p>
        </w:tc>
        <w:tc>
          <w:tcPr>
            <w:tcW w:w="1087" w:type="dxa"/>
            <w:tcBorders>
              <w:top w:val="single" w:sz="12" w:space="0" w:color="auto"/>
              <w:left w:val="single" w:sz="12" w:space="0" w:color="auto"/>
              <w:bottom w:val="single" w:sz="12" w:space="0" w:color="auto"/>
              <w:right w:val="single" w:sz="12" w:space="0" w:color="auto"/>
            </w:tcBorders>
          </w:tcPr>
          <w:p w14:paraId="3D778261" w14:textId="71F1DCA6" w:rsidR="005D12E4" w:rsidRPr="00936AC9" w:rsidRDefault="00770254" w:rsidP="00A1232F">
            <w:pPr>
              <w:pStyle w:val="BodyText"/>
              <w:rPr>
                <w:color w:val="FF0000"/>
                <w:lang w:val="en-US"/>
              </w:rPr>
            </w:pPr>
            <w:r>
              <w:rPr>
                <w:color w:val="FF0000"/>
                <w:lang w:val="en-US"/>
              </w:rPr>
              <w:t>~</w:t>
            </w:r>
            <w:r w:rsidR="005D12E4" w:rsidRPr="00936AC9">
              <w:rPr>
                <w:color w:val="FF0000"/>
                <w:lang w:val="en-US"/>
              </w:rPr>
              <w:t xml:space="preserve">1.5 </w:t>
            </w:r>
            <w:proofErr w:type="spellStart"/>
            <w:r w:rsidR="005D12E4" w:rsidRPr="00936AC9">
              <w:rPr>
                <w:color w:val="FF0000"/>
                <w:lang w:val="en-US"/>
              </w:rPr>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2CD18733" w14:textId="77777777" w:rsidR="005D12E4" w:rsidRPr="00936AC9" w:rsidRDefault="005D12E4" w:rsidP="00A1232F">
            <w:pPr>
              <w:pStyle w:val="BodyText"/>
              <w:rPr>
                <w:color w:val="FF0000"/>
                <w:lang w:val="x-none"/>
              </w:rPr>
            </w:pPr>
            <w:r w:rsidRPr="00BF56CC">
              <w:rPr>
                <w:color w:val="FF0000"/>
                <w:lang w:val="x-none"/>
              </w:rPr>
              <w:t>10</w:t>
            </w:r>
            <w:r w:rsidRPr="00BF56CC">
              <w:rPr>
                <w:color w:val="FF0000"/>
                <w:vertAlign w:val="superscript"/>
                <w:lang w:val="x-none"/>
              </w:rPr>
              <w:t>-5</w:t>
            </w:r>
          </w:p>
        </w:tc>
        <w:tc>
          <w:tcPr>
            <w:tcW w:w="1314" w:type="dxa"/>
            <w:tcBorders>
              <w:top w:val="single" w:sz="12" w:space="0" w:color="auto"/>
              <w:left w:val="single" w:sz="12" w:space="0" w:color="auto"/>
              <w:bottom w:val="single" w:sz="12" w:space="0" w:color="auto"/>
              <w:right w:val="single" w:sz="12" w:space="0" w:color="auto"/>
            </w:tcBorders>
          </w:tcPr>
          <w:p w14:paraId="7D3C7FB2" w14:textId="77777777" w:rsidR="005D12E4" w:rsidRPr="00936AC9" w:rsidRDefault="005D12E4" w:rsidP="00A1232F">
            <w:pPr>
              <w:pStyle w:val="BodyText"/>
              <w:rPr>
                <w:color w:val="FF0000"/>
                <w:lang w:val="en-US"/>
              </w:rPr>
            </w:pPr>
            <w:r w:rsidRPr="00936AC9">
              <w:rPr>
                <w:color w:val="FF0000"/>
                <w:lang w:val="en-US"/>
              </w:rPr>
              <w:t>~1300 bytes</w:t>
            </w:r>
          </w:p>
        </w:tc>
        <w:tc>
          <w:tcPr>
            <w:tcW w:w="1652" w:type="dxa"/>
            <w:tcBorders>
              <w:top w:val="single" w:sz="12" w:space="0" w:color="auto"/>
              <w:left w:val="single" w:sz="12" w:space="0" w:color="auto"/>
              <w:bottom w:val="single" w:sz="12" w:space="0" w:color="auto"/>
              <w:right w:val="single" w:sz="12" w:space="0" w:color="auto"/>
            </w:tcBorders>
          </w:tcPr>
          <w:p w14:paraId="14FBDD82" w14:textId="77777777" w:rsidR="005D12E4" w:rsidRPr="00936AC9" w:rsidRDefault="005D12E4" w:rsidP="00A1232F">
            <w:pPr>
              <w:pStyle w:val="BodyText"/>
              <w:rPr>
                <w:color w:val="FF0000"/>
                <w:lang w:val="x-none"/>
              </w:rPr>
            </w:pPr>
          </w:p>
        </w:tc>
        <w:tc>
          <w:tcPr>
            <w:tcW w:w="2124" w:type="dxa"/>
            <w:tcBorders>
              <w:top w:val="single" w:sz="12" w:space="0" w:color="auto"/>
              <w:left w:val="single" w:sz="12" w:space="0" w:color="auto"/>
              <w:bottom w:val="single" w:sz="12" w:space="0" w:color="auto"/>
              <w:right w:val="single" w:sz="12" w:space="0" w:color="auto"/>
            </w:tcBorders>
          </w:tcPr>
          <w:p w14:paraId="1D6D71DC" w14:textId="77777777" w:rsidR="005D12E4" w:rsidRPr="00936AC9" w:rsidRDefault="005D12E4" w:rsidP="00A1232F">
            <w:pPr>
              <w:pStyle w:val="BodyText"/>
              <w:rPr>
                <w:color w:val="FF0000"/>
                <w:lang w:val="x-none"/>
              </w:rPr>
            </w:pPr>
            <w:r w:rsidRPr="00936AC9">
              <w:rPr>
                <w:rFonts w:cs="Arial"/>
                <w:i/>
                <w:color w:val="FF0000"/>
                <w:szCs w:val="16"/>
              </w:rPr>
              <w:t xml:space="preserve">eV2X messages (Emergency Trajectory Alignment and Sensors information Sharing with high </w:t>
            </w:r>
            <w:proofErr w:type="spellStart"/>
            <w:r w:rsidRPr="00936AC9">
              <w:rPr>
                <w:rFonts w:cs="Arial"/>
                <w:i/>
                <w:color w:val="FF0000"/>
                <w:szCs w:val="16"/>
              </w:rPr>
              <w:t>LoA</w:t>
            </w:r>
            <w:proofErr w:type="spellEnd"/>
            <w:r w:rsidRPr="00936AC9">
              <w:rPr>
                <w:rFonts w:cs="Arial"/>
                <w:i/>
                <w:color w:val="FF0000"/>
                <w:szCs w:val="16"/>
              </w:rPr>
              <w:t xml:space="preserve"> (see TS 22.186))</w:t>
            </w:r>
          </w:p>
        </w:tc>
      </w:tr>
      <w:tr w:rsidR="005D12E4" w:rsidRPr="00BF56CC" w14:paraId="576AA2AC" w14:textId="77777777" w:rsidTr="00A1232F">
        <w:tc>
          <w:tcPr>
            <w:tcW w:w="10033" w:type="dxa"/>
            <w:gridSpan w:val="8"/>
            <w:tcBorders>
              <w:top w:val="single" w:sz="12" w:space="0" w:color="auto"/>
              <w:left w:val="single" w:sz="12" w:space="0" w:color="auto"/>
              <w:bottom w:val="single" w:sz="12" w:space="0" w:color="auto"/>
              <w:right w:val="single" w:sz="12" w:space="0" w:color="auto"/>
            </w:tcBorders>
            <w:hideMark/>
          </w:tcPr>
          <w:p w14:paraId="7BFF29BA" w14:textId="77777777" w:rsidR="005D12E4" w:rsidRPr="00BF56CC" w:rsidRDefault="005D12E4" w:rsidP="00A1232F">
            <w:pPr>
              <w:pStyle w:val="BodyText"/>
              <w:rPr>
                <w:lang w:val="x-none"/>
              </w:rPr>
            </w:pPr>
            <w:r w:rsidRPr="00BF56CC">
              <w:rPr>
                <w:lang w:val="x-none"/>
              </w:rPr>
              <w:t>NOTE 1:</w:t>
            </w:r>
            <w:r w:rsidRPr="00BF56CC">
              <w:rPr>
                <w:lang w:val="x-none"/>
              </w:rPr>
              <w:tab/>
              <w:t>A packet which is delayed more than PDB is not counted as lost, thus not included in the PER.</w:t>
            </w:r>
          </w:p>
          <w:p w14:paraId="06F0C24E" w14:textId="77777777" w:rsidR="005D12E4" w:rsidRPr="00BF56CC" w:rsidRDefault="005D12E4" w:rsidP="00A1232F">
            <w:pPr>
              <w:pStyle w:val="BodyText"/>
              <w:rPr>
                <w:lang w:val="x-none"/>
              </w:rPr>
            </w:pPr>
            <w:r w:rsidRPr="00BF56CC">
              <w:rPr>
                <w:lang w:val="x-none"/>
              </w:rPr>
              <w:t>NOTE 2:</w:t>
            </w:r>
            <w:r w:rsidRPr="00BF56CC">
              <w:rPr>
                <w:lang w:val="x-none"/>
              </w:rPr>
              <w:tab/>
              <w:t>It is required that default MDBV is supported by a PLMN supporting the related 5QIs.</w:t>
            </w:r>
          </w:p>
          <w:p w14:paraId="5D5AD605" w14:textId="77777777" w:rsidR="005D12E4" w:rsidRPr="00BF56CC" w:rsidRDefault="005D12E4" w:rsidP="00A1232F">
            <w:pPr>
              <w:pStyle w:val="BodyText"/>
              <w:rPr>
                <w:lang w:val="x-none"/>
              </w:rPr>
            </w:pPr>
            <w:r w:rsidRPr="00BF56CC">
              <w:rPr>
                <w:lang w:val="x-none"/>
              </w:rPr>
              <w:t>NOTE 3:</w:t>
            </w:r>
            <w:r w:rsidRPr="00BF56CC">
              <w:rPr>
                <w:lang w:val="x-none"/>
              </w:rPr>
              <w:tab/>
              <w:t>This MDBV value is set to 1354 bytes to avoid IP fragmentation for the IPv6 based, IPSec protected GTP tunnel to the 5G-AN node (the value is calculated as in Annex C of TS 23.060 [56] and further reduced by 4 bytes to allow for the usage of a GTP-U extension header).</w:t>
            </w:r>
          </w:p>
          <w:p w14:paraId="00D153B0" w14:textId="77777777" w:rsidR="005D12E4" w:rsidRPr="00BF56CC" w:rsidRDefault="005D12E4" w:rsidP="00A1232F">
            <w:pPr>
              <w:pStyle w:val="BodyText"/>
              <w:rPr>
                <w:color w:val="00B0F0"/>
                <w:lang w:val="x-none"/>
              </w:rPr>
            </w:pPr>
            <w:r w:rsidRPr="00BF56CC">
              <w:rPr>
                <w:color w:val="00B0F0"/>
                <w:lang w:val="x-none"/>
              </w:rPr>
              <w:t>NOTE 4:</w:t>
            </w:r>
            <w:r w:rsidRPr="00BF56CC">
              <w:rPr>
                <w:color w:val="00B0F0"/>
                <w:lang w:val="x-none"/>
              </w:rPr>
              <w:tab/>
              <w:t>A delay of 1 </w:t>
            </w:r>
            <w:proofErr w:type="spellStart"/>
            <w:r w:rsidRPr="00BF56CC">
              <w:rPr>
                <w:color w:val="00B0F0"/>
                <w:lang w:val="x-none"/>
              </w:rPr>
              <w:t>ms</w:t>
            </w:r>
            <w:proofErr w:type="spellEnd"/>
            <w:r w:rsidRPr="00BF56CC">
              <w:rPr>
                <w:color w:val="00B0F0"/>
                <w:lang w:val="x-none"/>
              </w:rPr>
              <w:t xml:space="preserve"> for the delay between a UPF terminating N6 and a 5G-AN </w:t>
            </w:r>
            <w:bookmarkStart w:id="0" w:name="_Hlk534924079"/>
            <w:r w:rsidRPr="00BF56CC">
              <w:rPr>
                <w:color w:val="00B0F0"/>
                <w:lang w:val="x-none"/>
              </w:rPr>
              <w:t>should be subtracted from a given PDB to derive the packet delay budget that applies to the radio interface.</w:t>
            </w:r>
            <w:bookmarkEnd w:id="0"/>
          </w:p>
          <w:p w14:paraId="7984408E" w14:textId="77777777" w:rsidR="005D12E4" w:rsidRPr="00BF56CC" w:rsidRDefault="005D12E4" w:rsidP="00A1232F">
            <w:pPr>
              <w:pStyle w:val="BodyText"/>
              <w:rPr>
                <w:color w:val="00B0F0"/>
                <w:lang w:val="x-none"/>
              </w:rPr>
            </w:pPr>
            <w:r w:rsidRPr="00BF56CC">
              <w:rPr>
                <w:color w:val="00B0F0"/>
                <w:lang w:val="x-none"/>
              </w:rPr>
              <w:t>NOTE 5:</w:t>
            </w:r>
            <w:r w:rsidRPr="00BF56CC">
              <w:rPr>
                <w:color w:val="00B0F0"/>
                <w:lang w:val="x-none"/>
              </w:rPr>
              <w:tab/>
              <w:t xml:space="preserve">A delay of 2 </w:t>
            </w:r>
            <w:proofErr w:type="spellStart"/>
            <w:r w:rsidRPr="00BF56CC">
              <w:rPr>
                <w:color w:val="00B0F0"/>
                <w:lang w:val="x-none"/>
              </w:rPr>
              <w:t>ms</w:t>
            </w:r>
            <w:proofErr w:type="spellEnd"/>
            <w:r w:rsidRPr="00BF56CC">
              <w:rPr>
                <w:color w:val="00B0F0"/>
                <w:lang w:val="x-none"/>
              </w:rPr>
              <w:t xml:space="preserve"> for the delay between a UPF terminating N6 and a 5G-AN should be subtracted from a given PDB to derive the packet delay budget that applies to the radio interface.</w:t>
            </w:r>
          </w:p>
          <w:p w14:paraId="61AD7B93" w14:textId="77777777" w:rsidR="005D12E4" w:rsidRPr="00BF56CC" w:rsidRDefault="005D12E4" w:rsidP="00A1232F">
            <w:pPr>
              <w:pStyle w:val="BodyText"/>
              <w:rPr>
                <w:lang w:val="x-none"/>
              </w:rPr>
            </w:pPr>
            <w:r w:rsidRPr="00BF56CC">
              <w:rPr>
                <w:color w:val="00B0F0"/>
                <w:lang w:val="x-none"/>
              </w:rPr>
              <w:t>NOTE 6:</w:t>
            </w:r>
            <w:r w:rsidRPr="00BF56CC">
              <w:rPr>
                <w:color w:val="00B0F0"/>
                <w:lang w:val="x-none"/>
              </w:rPr>
              <w:tab/>
              <w:t xml:space="preserve">A delay of 5 </w:t>
            </w:r>
            <w:proofErr w:type="spellStart"/>
            <w:r w:rsidRPr="00BF56CC">
              <w:rPr>
                <w:color w:val="00B0F0"/>
                <w:lang w:val="x-none"/>
              </w:rPr>
              <w:t>ms</w:t>
            </w:r>
            <w:proofErr w:type="spellEnd"/>
            <w:r w:rsidRPr="00BF56CC">
              <w:rPr>
                <w:color w:val="00B0F0"/>
                <w:lang w:val="x-none"/>
              </w:rPr>
              <w:t xml:space="preserve"> for the delay between a UPF terminating N6 and a 5G-AN should be subtracted from a given PDB to derive the packet delay budget that applies to the radio interface.</w:t>
            </w:r>
          </w:p>
        </w:tc>
      </w:tr>
    </w:tbl>
    <w:p w14:paraId="638C44F6" w14:textId="77777777" w:rsidR="005D12E4" w:rsidRPr="005D12E4" w:rsidRDefault="005D12E4" w:rsidP="00CE0424">
      <w:pPr>
        <w:pStyle w:val="BodyText"/>
        <w:rPr>
          <w:lang w:val="en-US"/>
        </w:rPr>
      </w:pPr>
    </w:p>
    <w:p w14:paraId="118F9A50" w14:textId="77777777" w:rsidR="00770254" w:rsidRDefault="00770254" w:rsidP="00CE0424">
      <w:pPr>
        <w:pStyle w:val="BodyText"/>
      </w:pPr>
      <w:r>
        <w:t xml:space="preserve">While [1] gives PDB of 5 </w:t>
      </w:r>
      <w:proofErr w:type="spellStart"/>
      <w:r>
        <w:t>ms</w:t>
      </w:r>
      <w:proofErr w:type="spellEnd"/>
      <w:r>
        <w:t xml:space="preserve"> and ~1.5 </w:t>
      </w:r>
      <w:proofErr w:type="spellStart"/>
      <w:r>
        <w:t>ms</w:t>
      </w:r>
      <w:proofErr w:type="spellEnd"/>
      <w:r>
        <w:t xml:space="preserve"> for the two new 5QI values, respectively, it is not clear how to derive the packet delay budget that is available to the radio interface. In contrast, for 5QI values 82-85, NOTE 4/5/6 are provided to indicate the </w:t>
      </w:r>
      <w:r w:rsidRPr="00770254">
        <w:t>delay between a UPF terminating N6 and a 5G-AN</w:t>
      </w:r>
      <w:r>
        <w:t xml:space="preserve">, which </w:t>
      </w:r>
      <w:r w:rsidRPr="00770254">
        <w:t>should be subtracted from a given PDB to derive the packet delay budget that applies to the radio interface.</w:t>
      </w:r>
      <w:r>
        <w:t xml:space="preserve"> Thus, similar NOTE is needed for the two new 5QI values, so that one can derive the packet delay budget available to the radio interface. </w:t>
      </w:r>
    </w:p>
    <w:p w14:paraId="138D6A94" w14:textId="6AD5B732" w:rsidR="008C2518" w:rsidRDefault="00770254" w:rsidP="00CE0424">
      <w:pPr>
        <w:pStyle w:val="BodyText"/>
      </w:pPr>
      <w:r>
        <w:t xml:space="preserve">Considering the PDB values are very short (i.e., 5 </w:t>
      </w:r>
      <w:proofErr w:type="spellStart"/>
      <w:r>
        <w:t>ms</w:t>
      </w:r>
      <w:proofErr w:type="spellEnd"/>
      <w:r>
        <w:t xml:space="preserve"> and ~1.5 </w:t>
      </w:r>
      <w:proofErr w:type="spellStart"/>
      <w:r>
        <w:t>ms</w:t>
      </w:r>
      <w:proofErr w:type="spellEnd"/>
      <w:r>
        <w:t xml:space="preserve">), the delay between </w:t>
      </w:r>
      <w:r w:rsidR="0032397C" w:rsidRPr="0032397C">
        <w:t>UPF and 5G-AN</w:t>
      </w:r>
      <w:r>
        <w:t xml:space="preserve"> can significantly affect the delay budget available to the physical layer.</w:t>
      </w:r>
      <w:r w:rsidR="008C2518">
        <w:t xml:space="preserve"> For example, if the 1ms delay in NOTE 4 is followed, then the delay budget available to the radio interface is 4 </w:t>
      </w:r>
      <w:proofErr w:type="spellStart"/>
      <w:r w:rsidR="008C2518">
        <w:t>ms</w:t>
      </w:r>
      <w:proofErr w:type="spellEnd"/>
      <w:r w:rsidR="008C2518">
        <w:t xml:space="preserve"> and 0.5 </w:t>
      </w:r>
      <w:proofErr w:type="spellStart"/>
      <w:r w:rsidR="008C2518">
        <w:t>ms</w:t>
      </w:r>
      <w:proofErr w:type="spellEnd"/>
      <w:r w:rsidR="008C2518">
        <w:t xml:space="preserve">, respectively, for the two new 5QI values. If the 2 </w:t>
      </w:r>
      <w:proofErr w:type="spellStart"/>
      <w:r w:rsidR="008C2518">
        <w:t>ms</w:t>
      </w:r>
      <w:proofErr w:type="spellEnd"/>
      <w:r w:rsidR="008C2518">
        <w:t xml:space="preserve"> delay is NOTE 5 is followed, then </w:t>
      </w:r>
      <w:r w:rsidR="0032397C">
        <w:t xml:space="preserve">the delay budget available to the radio interface is 3 </w:t>
      </w:r>
      <w:proofErr w:type="spellStart"/>
      <w:r w:rsidR="0032397C">
        <w:t>ms</w:t>
      </w:r>
      <w:proofErr w:type="spellEnd"/>
      <w:r w:rsidR="0032397C">
        <w:t xml:space="preserve"> for 5QI new value #1, while new value #2 is not feasible.</w:t>
      </w:r>
    </w:p>
    <w:p w14:paraId="50D19FDB" w14:textId="67FA8330" w:rsidR="005D12E4" w:rsidRDefault="008C2518" w:rsidP="00CE0424">
      <w:pPr>
        <w:pStyle w:val="BodyText"/>
      </w:pPr>
      <w:proofErr w:type="gramStart"/>
      <w:r>
        <w:lastRenderedPageBreak/>
        <w:t>Thus</w:t>
      </w:r>
      <w:proofErr w:type="gramEnd"/>
      <w:r>
        <w:t xml:space="preserve"> it is important that SA2 provide information</w:t>
      </w:r>
      <w:r w:rsidR="0032397C">
        <w:t xml:space="preserve"> about the </w:t>
      </w:r>
      <w:r w:rsidR="0032397C" w:rsidRPr="0032397C">
        <w:t>delay between UPF and 5G-AN</w:t>
      </w:r>
      <w:r>
        <w:t xml:space="preserve">. We propose that RAN1 sends a response LS to SA2 to inquire about this. </w:t>
      </w:r>
    </w:p>
    <w:p w14:paraId="1B9ABEE2" w14:textId="77777777" w:rsidR="005D12E4" w:rsidRDefault="005D12E4" w:rsidP="00CE0424">
      <w:pPr>
        <w:pStyle w:val="BodyText"/>
      </w:pPr>
    </w:p>
    <w:p w14:paraId="124A4F94" w14:textId="4D14ADDB" w:rsidR="005D12E4" w:rsidRDefault="008C2518" w:rsidP="008C2518">
      <w:pPr>
        <w:pStyle w:val="Proposal"/>
      </w:pPr>
      <w:bookmarkStart w:id="1" w:name="_Toc534933049"/>
      <w:r>
        <w:t xml:space="preserve">Send a response LS to SA2 to inquire about the </w:t>
      </w:r>
      <w:r w:rsidRPr="008C2518">
        <w:t>delay between a UPF terminating N6 and a 5G-AN</w:t>
      </w:r>
      <w:r>
        <w:t xml:space="preserve"> for the two new 5QI values.</w:t>
      </w:r>
      <w:bookmarkEnd w:id="1"/>
    </w:p>
    <w:p w14:paraId="4D9F2286" w14:textId="3458EA75" w:rsidR="005D12E4" w:rsidRDefault="005D12E4" w:rsidP="00CE0424">
      <w:pPr>
        <w:pStyle w:val="BodyText"/>
      </w:pPr>
    </w:p>
    <w:p w14:paraId="522762FE" w14:textId="485BBCA7" w:rsidR="00DE2358" w:rsidRDefault="00DE2358" w:rsidP="00CE0424">
      <w:pPr>
        <w:pStyle w:val="BodyText"/>
      </w:pPr>
      <w:r>
        <w:t>Additionally, it is not clear how much delay budget should be set aside for the higher layer. For example</w:t>
      </w:r>
      <w:r w:rsidR="00AF7476">
        <w:t>,</w:t>
      </w:r>
      <w:r>
        <w:t xml:space="preserve"> </w:t>
      </w:r>
      <w:r w:rsidR="00AF7476">
        <w:t xml:space="preserve">RAN3 indicated in </w:t>
      </w:r>
      <w:r>
        <w:t xml:space="preserve">[5] </w:t>
      </w:r>
      <w:r w:rsidR="00AF7476">
        <w:t xml:space="preserve">that </w:t>
      </w:r>
      <w:r w:rsidR="00AF7476">
        <w:rPr>
          <w:rFonts w:cs="Arial"/>
        </w:rPr>
        <w:t xml:space="preserve">the latency introduced by network interfaces depends on the backhaul type and network architecture. While the network latency can be negligible in certain scenarios (e.g. high quality </w:t>
      </w:r>
      <w:proofErr w:type="gramStart"/>
      <w:r w:rsidR="00AF7476">
        <w:rPr>
          <w:rFonts w:cs="Arial"/>
        </w:rPr>
        <w:t>backhaul</w:t>
      </w:r>
      <w:proofErr w:type="gramEnd"/>
      <w:r w:rsidR="00AF7476">
        <w:rPr>
          <w:rFonts w:cs="Arial"/>
        </w:rPr>
        <w:t xml:space="preserve"> and/or compact architecture), there are also scenarios where the latency cannot be considered negligible (e.g. between </w:t>
      </w:r>
      <w:proofErr w:type="spellStart"/>
      <w:r w:rsidR="00AF7476">
        <w:rPr>
          <w:rFonts w:cs="Arial"/>
        </w:rPr>
        <w:t>gNB</w:t>
      </w:r>
      <w:proofErr w:type="spellEnd"/>
      <w:r w:rsidR="00AF7476">
        <w:rPr>
          <w:rFonts w:cs="Arial"/>
        </w:rPr>
        <w:t xml:space="preserve"> and UPF).  </w:t>
      </w:r>
      <w:proofErr w:type="gramStart"/>
      <w:r w:rsidR="00AF7476">
        <w:rPr>
          <w:rFonts w:cs="Arial"/>
        </w:rPr>
        <w:t>Thus</w:t>
      </w:r>
      <w:proofErr w:type="gramEnd"/>
      <w:r w:rsidR="00AF7476">
        <w:rPr>
          <w:rFonts w:cs="Arial"/>
        </w:rPr>
        <w:t xml:space="preserve"> RAN1 needs input from RAN3 (copy RAN2) about the network interface latency for the relevant eV2X services, so that RAN1 can know the actual delay available for physical layer transmission over the </w:t>
      </w:r>
      <w:proofErr w:type="spellStart"/>
      <w:r w:rsidR="00AF7476">
        <w:rPr>
          <w:rFonts w:cs="Arial"/>
        </w:rPr>
        <w:t>Uu</w:t>
      </w:r>
      <w:proofErr w:type="spellEnd"/>
      <w:r w:rsidR="00AF7476">
        <w:rPr>
          <w:rFonts w:cs="Arial"/>
        </w:rPr>
        <w:t xml:space="preserve"> interface.</w:t>
      </w:r>
    </w:p>
    <w:p w14:paraId="143E4BB4" w14:textId="700706E9" w:rsidR="00DE2358" w:rsidRDefault="00DE2358" w:rsidP="00CE0424">
      <w:pPr>
        <w:pStyle w:val="BodyText"/>
        <w:rPr>
          <w:lang w:val="en-US"/>
        </w:rPr>
      </w:pPr>
    </w:p>
    <w:p w14:paraId="37F54690" w14:textId="45D4709A" w:rsidR="00AF7476" w:rsidRDefault="00AF7476" w:rsidP="00AF7476">
      <w:pPr>
        <w:pStyle w:val="Proposal"/>
      </w:pPr>
      <w:bookmarkStart w:id="2" w:name="_Toc534933050"/>
      <w:r>
        <w:t xml:space="preserve">Send a LS to RAN3 (copy RAN2) to inquire about the </w:t>
      </w:r>
      <w:r>
        <w:rPr>
          <w:rFonts w:cs="Arial"/>
        </w:rPr>
        <w:t>network interface latency</w:t>
      </w:r>
      <w:r>
        <w:t xml:space="preserve"> for the two new 5QI values.</w:t>
      </w:r>
      <w:bookmarkEnd w:id="2"/>
    </w:p>
    <w:p w14:paraId="58A11D7E" w14:textId="77777777" w:rsidR="00AF7476" w:rsidRPr="00AF7476" w:rsidRDefault="00AF7476" w:rsidP="00CE0424">
      <w:pPr>
        <w:pStyle w:val="BodyText"/>
      </w:pPr>
    </w:p>
    <w:p w14:paraId="1C891444" w14:textId="4B3DF300" w:rsidR="00551A98" w:rsidRDefault="00551A98" w:rsidP="00551A98">
      <w:pPr>
        <w:pStyle w:val="Heading2"/>
      </w:pPr>
      <w:r>
        <w:t>Other Requirements</w:t>
      </w:r>
    </w:p>
    <w:p w14:paraId="2503ED2A" w14:textId="1A8E99F5" w:rsidR="005D12E4" w:rsidRDefault="00A8512B" w:rsidP="00CE0424">
      <w:pPr>
        <w:pStyle w:val="BodyText"/>
      </w:pPr>
      <w:r>
        <w:t>In addition to the latency budget, other requirements need to be clarified also before RAN1 evaluation can start.</w:t>
      </w:r>
    </w:p>
    <w:p w14:paraId="76F8CAB5" w14:textId="7586F643" w:rsidR="00A8512B" w:rsidRDefault="00A8512B" w:rsidP="00CE0424">
      <w:pPr>
        <w:pStyle w:val="BodyText"/>
      </w:pPr>
      <w:r>
        <w:t>One parameter is TB size. In [1], d</w:t>
      </w:r>
      <w:r w:rsidRPr="00A8512B">
        <w:t>efault Maximum Data Burst Volume</w:t>
      </w:r>
      <w:r>
        <w:t xml:space="preserve"> (MDBV) values are provided: 1354 bytes and ~1300 bytes. The MDBV values need to be mapped to TBS values for physical layer simulation. For example, higher layer headers need to be </w:t>
      </w:r>
      <w:proofErr w:type="gramStart"/>
      <w:r>
        <w:t>taken into account</w:t>
      </w:r>
      <w:proofErr w:type="gramEnd"/>
      <w:r>
        <w:t>. Since 1354 bytes and ~1300 bytes are close to each other, it is reasonable to use a single TB size (TBS) in physical layer simulation. Specifically, we propose to use TBS = 1354+16 = 1370 bytes, which is already a packet size adopted for transport industry evaluation.</w:t>
      </w:r>
    </w:p>
    <w:p w14:paraId="410A8B79" w14:textId="3FC451D9" w:rsidR="00551A98" w:rsidRDefault="00551A98" w:rsidP="00CE0424">
      <w:pPr>
        <w:pStyle w:val="BodyText"/>
      </w:pPr>
    </w:p>
    <w:p w14:paraId="24477106" w14:textId="32178742" w:rsidR="00AF62B3" w:rsidRDefault="00AF62B3" w:rsidP="00AF62B3">
      <w:pPr>
        <w:pStyle w:val="Proposal"/>
      </w:pPr>
      <w:bookmarkStart w:id="3" w:name="_Toc534933051"/>
      <w:r>
        <w:t>Use TBS=1370 bytes in evaluations for the two new 5QI values.</w:t>
      </w:r>
      <w:bookmarkEnd w:id="3"/>
    </w:p>
    <w:p w14:paraId="6984BCAF" w14:textId="3600DAF4" w:rsidR="00AF62B3" w:rsidRDefault="00AF62B3" w:rsidP="00CE0424">
      <w:pPr>
        <w:pStyle w:val="BodyText"/>
      </w:pPr>
    </w:p>
    <w:p w14:paraId="36296F8E" w14:textId="77777777" w:rsidR="00AF62B3" w:rsidRDefault="00AF62B3" w:rsidP="00CE0424">
      <w:pPr>
        <w:pStyle w:val="BodyText"/>
      </w:pPr>
      <w:r>
        <w:t>There are other parameters that may affect the reliability and latency performance for the eV2X service. For example:</w:t>
      </w:r>
    </w:p>
    <w:p w14:paraId="6FFE4ABB" w14:textId="77777777" w:rsidR="00AF62B3" w:rsidRDefault="00AF62B3" w:rsidP="00AF62B3">
      <w:pPr>
        <w:pStyle w:val="BodyText"/>
        <w:numPr>
          <w:ilvl w:val="0"/>
          <w:numId w:val="28"/>
        </w:numPr>
      </w:pPr>
      <w:r w:rsidRPr="00AF62B3">
        <w:t>Inter-BS distance</w:t>
      </w:r>
      <w:r>
        <w:t xml:space="preserve"> </w:t>
      </w:r>
    </w:p>
    <w:p w14:paraId="283FE160" w14:textId="1D823DF6" w:rsidR="00AF62B3" w:rsidRDefault="00AF62B3" w:rsidP="00AF62B3">
      <w:pPr>
        <w:pStyle w:val="BodyText"/>
        <w:numPr>
          <w:ilvl w:val="1"/>
          <w:numId w:val="28"/>
        </w:numPr>
      </w:pPr>
      <w:r>
        <w:t xml:space="preserve">Current simulation assumption for transport industry is: </w:t>
      </w:r>
      <w:r w:rsidRPr="00AF62B3">
        <w:t>Inter-BS distance</w:t>
      </w:r>
      <w:r>
        <w:t xml:space="preserve"> = 500m</w:t>
      </w:r>
    </w:p>
    <w:p w14:paraId="5964543B" w14:textId="3CA02144" w:rsidR="00AF62B3" w:rsidRDefault="00AF62B3" w:rsidP="00436030">
      <w:pPr>
        <w:pStyle w:val="BodyText"/>
        <w:numPr>
          <w:ilvl w:val="0"/>
          <w:numId w:val="28"/>
        </w:numPr>
      </w:pPr>
      <w:r w:rsidRPr="00AF62B3">
        <w:t>Carrier frequency</w:t>
      </w:r>
    </w:p>
    <w:p w14:paraId="6628F303" w14:textId="25F8DE52" w:rsidR="00E63A60" w:rsidRDefault="00E63A60" w:rsidP="00E63A60">
      <w:pPr>
        <w:pStyle w:val="BodyText"/>
        <w:numPr>
          <w:ilvl w:val="1"/>
          <w:numId w:val="28"/>
        </w:numPr>
      </w:pPr>
      <w:r>
        <w:t xml:space="preserve">Current simulation assumption for transport industry is: </w:t>
      </w:r>
      <w:r w:rsidRPr="00AF62B3">
        <w:t>Carrier frequency</w:t>
      </w:r>
      <w:r>
        <w:t xml:space="preserve"> = 4 GHz</w:t>
      </w:r>
    </w:p>
    <w:p w14:paraId="59C756F6" w14:textId="1AFF90D7" w:rsidR="00AF62B3" w:rsidRDefault="00AF62B3" w:rsidP="00436030">
      <w:pPr>
        <w:pStyle w:val="BodyText"/>
        <w:numPr>
          <w:ilvl w:val="0"/>
          <w:numId w:val="28"/>
        </w:numPr>
      </w:pPr>
      <w:r>
        <w:t xml:space="preserve">UE speed </w:t>
      </w:r>
    </w:p>
    <w:p w14:paraId="7326EAD2" w14:textId="07288CE0" w:rsidR="00AF62B3" w:rsidRDefault="00AF62B3" w:rsidP="00AF62B3">
      <w:pPr>
        <w:pStyle w:val="BodyText"/>
        <w:numPr>
          <w:ilvl w:val="1"/>
          <w:numId w:val="28"/>
        </w:numPr>
      </w:pPr>
      <w:r>
        <w:t>Current simulation assumption for transport industry is: UE speed = 60 km/h</w:t>
      </w:r>
    </w:p>
    <w:p w14:paraId="16E4ACEA" w14:textId="39B1196F" w:rsidR="00AF62B3" w:rsidRDefault="00AF62B3" w:rsidP="00AF62B3">
      <w:pPr>
        <w:pStyle w:val="BodyText"/>
        <w:numPr>
          <w:ilvl w:val="0"/>
          <w:numId w:val="28"/>
        </w:numPr>
      </w:pPr>
      <w:r w:rsidRPr="00AF62B3">
        <w:t>Number of UEs per cell</w:t>
      </w:r>
      <w:r>
        <w:t xml:space="preserve"> </w:t>
      </w:r>
    </w:p>
    <w:p w14:paraId="4A1427A7" w14:textId="162F1AD1" w:rsidR="00AF62B3" w:rsidRPr="00AF62B3" w:rsidRDefault="00AF62B3" w:rsidP="00AF62B3">
      <w:pPr>
        <w:pStyle w:val="ListParagraph"/>
        <w:numPr>
          <w:ilvl w:val="1"/>
          <w:numId w:val="28"/>
        </w:numPr>
        <w:rPr>
          <w:rFonts w:ascii="Arial" w:eastAsia="Times New Roman" w:hAnsi="Arial"/>
          <w:sz w:val="20"/>
          <w:szCs w:val="20"/>
          <w:lang w:val="en-GB" w:eastAsia="zh-CN"/>
        </w:rPr>
      </w:pPr>
      <w:r>
        <w:t xml:space="preserve">Current simulation assumption for transport industry is: </w:t>
      </w:r>
      <w:r w:rsidRPr="00AF62B3">
        <w:rPr>
          <w:rFonts w:ascii="Arial" w:eastAsia="Times New Roman" w:hAnsi="Arial"/>
          <w:sz w:val="20"/>
          <w:szCs w:val="20"/>
          <w:lang w:val="en-GB" w:eastAsia="zh-CN"/>
        </w:rPr>
        <w:t xml:space="preserve">Number of UEs per cell </w:t>
      </w:r>
      <w:r>
        <w:rPr>
          <w:rFonts w:ascii="Arial" w:eastAsia="Times New Roman" w:hAnsi="Arial"/>
          <w:sz w:val="20"/>
          <w:szCs w:val="20"/>
          <w:lang w:val="en-GB" w:eastAsia="zh-CN"/>
        </w:rPr>
        <w:t>= up to 10</w:t>
      </w:r>
    </w:p>
    <w:p w14:paraId="5A2989AB" w14:textId="09179717" w:rsidR="00AF62B3" w:rsidRDefault="00AF62B3" w:rsidP="00E63A60">
      <w:pPr>
        <w:pStyle w:val="BodyText"/>
      </w:pPr>
    </w:p>
    <w:p w14:paraId="1DD409F1" w14:textId="61FCED41" w:rsidR="00551A98" w:rsidRDefault="00E63A60" w:rsidP="00CE0424">
      <w:pPr>
        <w:pStyle w:val="BodyText"/>
      </w:pPr>
      <w:r>
        <w:t>It should be checked if the simulation assumptions for transport industry can be directly reused for the evaluation work requested by [1].</w:t>
      </w:r>
    </w:p>
    <w:p w14:paraId="6A2BE27A" w14:textId="77777777" w:rsidR="00551A98" w:rsidRDefault="00551A98" w:rsidP="00CE0424">
      <w:pPr>
        <w:pStyle w:val="BodyText"/>
      </w:pPr>
    </w:p>
    <w:p w14:paraId="0F60353D" w14:textId="4B837CB4" w:rsidR="006E062C" w:rsidRDefault="00E63A60" w:rsidP="00CE0424">
      <w:pPr>
        <w:pStyle w:val="Heading1"/>
      </w:pPr>
      <w:r>
        <w:lastRenderedPageBreak/>
        <w:t>Evaluation Work</w:t>
      </w:r>
    </w:p>
    <w:p w14:paraId="0E53EC6C" w14:textId="2E9FB4F6" w:rsidR="00E63A60" w:rsidRDefault="00E63A60" w:rsidP="00E63A60">
      <w:pPr>
        <w:pStyle w:val="BodyText"/>
      </w:pPr>
      <w:r>
        <w:t xml:space="preserve">RAN1 is requested to respond </w:t>
      </w:r>
      <w:r w:rsidRPr="00E63A60">
        <w:t xml:space="preserve">whether, for </w:t>
      </w:r>
      <w:proofErr w:type="spellStart"/>
      <w:r w:rsidRPr="00E63A60">
        <w:t>Uu</w:t>
      </w:r>
      <w:proofErr w:type="spellEnd"/>
      <w:r w:rsidRPr="00E63A60">
        <w:t xml:space="preserve"> over E-UTRA and NR, the two new combinations of QoS characteristics values are feasible or not.</w:t>
      </w:r>
    </w:p>
    <w:p w14:paraId="612A8DC0" w14:textId="2FB56A00" w:rsidR="008A43AE" w:rsidRDefault="0051202A" w:rsidP="00E63A60">
      <w:pPr>
        <w:pStyle w:val="BodyText"/>
      </w:pPr>
      <w:r>
        <w:t xml:space="preserve">Since the proposed reliability and latency requirements are stringent, it </w:t>
      </w:r>
      <w:r w:rsidR="008A43AE">
        <w:t>may</w:t>
      </w:r>
      <w:r>
        <w:t xml:space="preserve"> </w:t>
      </w:r>
      <w:r w:rsidR="008A43AE">
        <w:t xml:space="preserve">not be possible to comment on the feasibility without </w:t>
      </w:r>
      <w:r w:rsidR="00281E36">
        <w:t xml:space="preserve">performing </w:t>
      </w:r>
      <w:r w:rsidR="008A43AE">
        <w:t xml:space="preserve">evaluation according to the specific requirements of </w:t>
      </w:r>
      <w:r w:rsidR="00210F4C">
        <w:t xml:space="preserve">[1]. This is particularly true for </w:t>
      </w:r>
      <w:r w:rsidR="00281E36">
        <w:t>the 2</w:t>
      </w:r>
      <w:r w:rsidR="00281E36" w:rsidRPr="00281E36">
        <w:rPr>
          <w:vertAlign w:val="superscript"/>
        </w:rPr>
        <w:t>nd</w:t>
      </w:r>
      <w:r w:rsidR="00281E36">
        <w:t xml:space="preserve"> set of requirements {</w:t>
      </w:r>
      <w:r w:rsidR="00281E36" w:rsidRPr="00E55C55">
        <w:rPr>
          <w:rFonts w:cs="Arial"/>
        </w:rPr>
        <w:t xml:space="preserve">PDB ~1.5 </w:t>
      </w:r>
      <w:proofErr w:type="spellStart"/>
      <w:r w:rsidR="00281E36" w:rsidRPr="00E55C55">
        <w:rPr>
          <w:rFonts w:cs="Arial"/>
        </w:rPr>
        <w:t>ms</w:t>
      </w:r>
      <w:proofErr w:type="spellEnd"/>
      <w:r w:rsidR="00281E36" w:rsidRPr="00E55C55">
        <w:rPr>
          <w:rFonts w:cs="Arial"/>
        </w:rPr>
        <w:t>, PER=10</w:t>
      </w:r>
      <w:r w:rsidR="00281E36" w:rsidRPr="00E55C55">
        <w:rPr>
          <w:rFonts w:cs="Arial"/>
          <w:vertAlign w:val="superscript"/>
        </w:rPr>
        <w:t>-5</w:t>
      </w:r>
      <w:r w:rsidR="00281E36" w:rsidRPr="00E55C55">
        <w:rPr>
          <w:rFonts w:cs="Arial"/>
        </w:rPr>
        <w:t xml:space="preserve"> and </w:t>
      </w:r>
      <w:r w:rsidR="00281E36">
        <w:rPr>
          <w:rFonts w:cs="Arial"/>
        </w:rPr>
        <w:t xml:space="preserve">MDBV </w:t>
      </w:r>
      <w:r w:rsidR="00281E36" w:rsidRPr="00E55C55">
        <w:rPr>
          <w:rFonts w:cs="Arial"/>
        </w:rPr>
        <w:t xml:space="preserve">~1300 </w:t>
      </w:r>
      <w:r w:rsidR="00281E36">
        <w:rPr>
          <w:rFonts w:cs="Arial"/>
        </w:rPr>
        <w:t>bytes</w:t>
      </w:r>
      <w:r w:rsidR="00281E36">
        <w:t>}</w:t>
      </w:r>
      <w:r w:rsidR="008A43AE">
        <w:t>. Thus we propose that after the requirements and simulation assumptions are clarified, RAN1 conduct evaluation work before responding to [1].</w:t>
      </w:r>
    </w:p>
    <w:p w14:paraId="341096F0" w14:textId="7B7B3EEA" w:rsidR="008A43AE" w:rsidRDefault="008A43AE" w:rsidP="00E63A60">
      <w:pPr>
        <w:pStyle w:val="BodyText"/>
      </w:pPr>
    </w:p>
    <w:p w14:paraId="42298D05" w14:textId="59CFA287" w:rsidR="008A43AE" w:rsidRPr="00E63A60" w:rsidRDefault="00281E36" w:rsidP="00281E36">
      <w:pPr>
        <w:pStyle w:val="Proposal"/>
      </w:pPr>
      <w:bookmarkStart w:id="4" w:name="_Toc534933052"/>
      <w:r>
        <w:t>After the requirements and simulation assumptions are clarified, RAN1 conduct evaluation work before responding to the SA2 LS [1].</w:t>
      </w:r>
      <w:bookmarkEnd w:id="4"/>
    </w:p>
    <w:p w14:paraId="375D782F" w14:textId="77777777" w:rsidR="00C01F33" w:rsidRPr="00CE0424" w:rsidRDefault="00C01F33" w:rsidP="00E63A60">
      <w:pPr>
        <w:pStyle w:val="Heading1"/>
        <w:pBdr>
          <w:top w:val="single" w:sz="12" w:space="1" w:color="auto"/>
        </w:pBdr>
      </w:pPr>
      <w:r w:rsidRPr="00CE0424">
        <w:t>Conclusion</w:t>
      </w:r>
    </w:p>
    <w:p w14:paraId="71B23DC5" w14:textId="77777777" w:rsidR="006E1C82" w:rsidRDefault="006E1C82" w:rsidP="008E065E">
      <w:pPr>
        <w:pStyle w:val="BodyText"/>
        <w:rPr>
          <w:b/>
          <w:bCs/>
        </w:rPr>
      </w:pPr>
    </w:p>
    <w:p w14:paraId="5DF8B48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CB27A1C" w14:textId="76EC91AB" w:rsidR="00281E36" w:rsidRDefault="006E1C82">
      <w:pPr>
        <w:pStyle w:val="TableofFigures"/>
        <w:tabs>
          <w:tab w:val="right" w:leader="dot" w:pos="9962"/>
        </w:tabs>
        <w:rPr>
          <w:rFonts w:asciiTheme="minorHAnsi" w:eastAsia="Arial Unicode MS"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4933049" w:history="1">
        <w:r w:rsidR="00281E36" w:rsidRPr="0069683C">
          <w:rPr>
            <w:rStyle w:val="Hyperlink"/>
            <w:noProof/>
          </w:rPr>
          <w:t>Proposal 1</w:t>
        </w:r>
        <w:r w:rsidR="00281E36">
          <w:rPr>
            <w:rFonts w:asciiTheme="minorHAnsi" w:eastAsia="Arial Unicode MS" w:hAnsiTheme="minorHAnsi" w:cstheme="minorBidi"/>
            <w:b w:val="0"/>
            <w:noProof/>
            <w:sz w:val="22"/>
            <w:szCs w:val="22"/>
            <w:lang w:val="en-US"/>
          </w:rPr>
          <w:tab/>
        </w:r>
        <w:r w:rsidR="00281E36" w:rsidRPr="0069683C">
          <w:rPr>
            <w:rStyle w:val="Hyperlink"/>
            <w:noProof/>
          </w:rPr>
          <w:t>Send a response LS to SA2 to inquire about the delay between a UPF terminating N6 and a 5G-AN for the two new 5QI values.</w:t>
        </w:r>
      </w:hyperlink>
    </w:p>
    <w:p w14:paraId="66037709" w14:textId="65D80712" w:rsidR="00281E36" w:rsidRDefault="008E0A46">
      <w:pPr>
        <w:pStyle w:val="TableofFigures"/>
        <w:tabs>
          <w:tab w:val="right" w:leader="dot" w:pos="9962"/>
        </w:tabs>
        <w:rPr>
          <w:rFonts w:asciiTheme="minorHAnsi" w:eastAsia="Arial Unicode MS" w:hAnsiTheme="minorHAnsi" w:cstheme="minorBidi"/>
          <w:b w:val="0"/>
          <w:noProof/>
          <w:sz w:val="22"/>
          <w:szCs w:val="22"/>
          <w:lang w:val="en-US"/>
        </w:rPr>
      </w:pPr>
      <w:hyperlink w:anchor="_Toc534933050" w:history="1">
        <w:r w:rsidR="00281E36" w:rsidRPr="0069683C">
          <w:rPr>
            <w:rStyle w:val="Hyperlink"/>
            <w:noProof/>
          </w:rPr>
          <w:t>Proposal 2</w:t>
        </w:r>
        <w:r w:rsidR="00281E36">
          <w:rPr>
            <w:rFonts w:asciiTheme="minorHAnsi" w:eastAsia="Arial Unicode MS" w:hAnsiTheme="minorHAnsi" w:cstheme="minorBidi"/>
            <w:b w:val="0"/>
            <w:noProof/>
            <w:sz w:val="22"/>
            <w:szCs w:val="22"/>
            <w:lang w:val="en-US"/>
          </w:rPr>
          <w:tab/>
        </w:r>
        <w:r w:rsidR="00281E36" w:rsidRPr="0069683C">
          <w:rPr>
            <w:rStyle w:val="Hyperlink"/>
            <w:noProof/>
          </w:rPr>
          <w:t xml:space="preserve">Send a LS to RAN3 (copy RAN2) to inquire about the </w:t>
        </w:r>
        <w:r w:rsidR="00281E36" w:rsidRPr="0069683C">
          <w:rPr>
            <w:rStyle w:val="Hyperlink"/>
            <w:rFonts w:cs="Arial"/>
            <w:noProof/>
          </w:rPr>
          <w:t>network interface latency</w:t>
        </w:r>
        <w:r w:rsidR="00281E36" w:rsidRPr="0069683C">
          <w:rPr>
            <w:rStyle w:val="Hyperlink"/>
            <w:noProof/>
          </w:rPr>
          <w:t xml:space="preserve"> for the two new 5QI values.</w:t>
        </w:r>
      </w:hyperlink>
    </w:p>
    <w:p w14:paraId="2DFA7FA5" w14:textId="70FA74BA" w:rsidR="00281E36" w:rsidRDefault="008E0A46">
      <w:pPr>
        <w:pStyle w:val="TableofFigures"/>
        <w:tabs>
          <w:tab w:val="right" w:leader="dot" w:pos="9962"/>
        </w:tabs>
        <w:rPr>
          <w:rFonts w:asciiTheme="minorHAnsi" w:eastAsia="Arial Unicode MS" w:hAnsiTheme="minorHAnsi" w:cstheme="minorBidi"/>
          <w:b w:val="0"/>
          <w:noProof/>
          <w:sz w:val="22"/>
          <w:szCs w:val="22"/>
          <w:lang w:val="en-US"/>
        </w:rPr>
      </w:pPr>
      <w:hyperlink w:anchor="_Toc534933051" w:history="1">
        <w:r w:rsidR="00281E36" w:rsidRPr="0069683C">
          <w:rPr>
            <w:rStyle w:val="Hyperlink"/>
            <w:noProof/>
          </w:rPr>
          <w:t>Proposal 3</w:t>
        </w:r>
        <w:r w:rsidR="00281E36">
          <w:rPr>
            <w:rFonts w:asciiTheme="minorHAnsi" w:eastAsia="Arial Unicode MS" w:hAnsiTheme="minorHAnsi" w:cstheme="minorBidi"/>
            <w:b w:val="0"/>
            <w:noProof/>
            <w:sz w:val="22"/>
            <w:szCs w:val="22"/>
            <w:lang w:val="en-US"/>
          </w:rPr>
          <w:tab/>
        </w:r>
        <w:r w:rsidR="00281E36" w:rsidRPr="0069683C">
          <w:rPr>
            <w:rStyle w:val="Hyperlink"/>
            <w:noProof/>
          </w:rPr>
          <w:t>Use TBS=1370 bytes in evaluations for the two new 5QI values.</w:t>
        </w:r>
      </w:hyperlink>
    </w:p>
    <w:p w14:paraId="7DFF9B94" w14:textId="31865EC4" w:rsidR="00281E36" w:rsidRDefault="008E0A46">
      <w:pPr>
        <w:pStyle w:val="TableofFigures"/>
        <w:tabs>
          <w:tab w:val="right" w:leader="dot" w:pos="9962"/>
        </w:tabs>
        <w:rPr>
          <w:rFonts w:asciiTheme="minorHAnsi" w:eastAsia="Arial Unicode MS" w:hAnsiTheme="minorHAnsi" w:cstheme="minorBidi"/>
          <w:b w:val="0"/>
          <w:noProof/>
          <w:sz w:val="22"/>
          <w:szCs w:val="22"/>
          <w:lang w:val="en-US"/>
        </w:rPr>
      </w:pPr>
      <w:hyperlink w:anchor="_Toc534933052" w:history="1">
        <w:r w:rsidR="00281E36" w:rsidRPr="0069683C">
          <w:rPr>
            <w:rStyle w:val="Hyperlink"/>
            <w:noProof/>
          </w:rPr>
          <w:t>Proposal 4</w:t>
        </w:r>
        <w:r w:rsidR="00281E36">
          <w:rPr>
            <w:rFonts w:asciiTheme="minorHAnsi" w:eastAsia="Arial Unicode MS" w:hAnsiTheme="minorHAnsi" w:cstheme="minorBidi"/>
            <w:b w:val="0"/>
            <w:noProof/>
            <w:sz w:val="22"/>
            <w:szCs w:val="22"/>
            <w:lang w:val="en-US"/>
          </w:rPr>
          <w:tab/>
        </w:r>
        <w:r w:rsidR="00281E36" w:rsidRPr="0069683C">
          <w:rPr>
            <w:rStyle w:val="Hyperlink"/>
            <w:noProof/>
          </w:rPr>
          <w:t>After the requirements and simulation assumptions are clarified, RAN1 conduct evaluation work before responding to the SA2 LS [1].</w:t>
        </w:r>
      </w:hyperlink>
    </w:p>
    <w:p w14:paraId="3AE5AD10" w14:textId="1EF1C0C7" w:rsidR="008E065E" w:rsidRPr="00CE0424" w:rsidRDefault="006E1C82" w:rsidP="00281E36">
      <w:pPr>
        <w:pStyle w:val="BodyText"/>
        <w:rPr>
          <w:b/>
          <w:bCs/>
        </w:rPr>
      </w:pPr>
      <w:r>
        <w:rPr>
          <w:b/>
          <w:bCs/>
          <w:lang w:val="en-US"/>
        </w:rPr>
        <w:fldChar w:fldCharType="end"/>
      </w:r>
      <w:r w:rsidRPr="00CE0424">
        <w:rPr>
          <w:b/>
          <w:bCs/>
        </w:rPr>
        <w:t xml:space="preserve"> </w:t>
      </w:r>
    </w:p>
    <w:p w14:paraId="4C5504C0" w14:textId="77777777" w:rsidR="00F507D1" w:rsidRPr="00CE0424" w:rsidRDefault="00F507D1" w:rsidP="00CE0424">
      <w:pPr>
        <w:pStyle w:val="Heading1"/>
      </w:pPr>
      <w:bookmarkStart w:id="5" w:name="_In-sequence_SDU_delivery"/>
      <w:bookmarkEnd w:id="5"/>
      <w:r w:rsidRPr="00CE0424">
        <w:t>References</w:t>
      </w:r>
    </w:p>
    <w:p w14:paraId="0D89B268" w14:textId="5B39253A" w:rsidR="00B42C6F" w:rsidRDefault="00B42C6F" w:rsidP="00311702">
      <w:pPr>
        <w:pStyle w:val="Reference"/>
      </w:pPr>
      <w:bookmarkStart w:id="6" w:name="_Ref174151459"/>
      <w:bookmarkStart w:id="7" w:name="_Ref189809556"/>
      <w:r w:rsidRPr="00B42C6F">
        <w:t xml:space="preserve">R1-1900012 (S2-1813386), </w:t>
      </w:r>
      <w:r w:rsidR="00DE2358">
        <w:t>“</w:t>
      </w:r>
      <w:r w:rsidRPr="00B42C6F">
        <w:t xml:space="preserve">Combinations of </w:t>
      </w:r>
      <w:proofErr w:type="spellStart"/>
      <w:r w:rsidRPr="00B42C6F">
        <w:t>Uu</w:t>
      </w:r>
      <w:proofErr w:type="spellEnd"/>
      <w:r w:rsidRPr="00B42C6F">
        <w:t xml:space="preserve"> QoS characteristics values for V2X services,</w:t>
      </w:r>
      <w:r w:rsidR="00DE2358">
        <w:t>”</w:t>
      </w:r>
      <w:r>
        <w:t xml:space="preserve"> </w:t>
      </w:r>
      <w:r w:rsidRPr="00B42C6F">
        <w:t>SA2#129bis</w:t>
      </w:r>
      <w:r>
        <w:t xml:space="preserve">, </w:t>
      </w:r>
      <w:r w:rsidRPr="00B42C6F">
        <w:t>November 2018</w:t>
      </w:r>
      <w:r>
        <w:t>.</w:t>
      </w:r>
    </w:p>
    <w:bookmarkEnd w:id="6"/>
    <w:bookmarkEnd w:id="7"/>
    <w:p w14:paraId="1C81E915" w14:textId="77777777" w:rsidR="00420232" w:rsidRDefault="00420232" w:rsidP="00420232">
      <w:pPr>
        <w:pStyle w:val="Reference"/>
      </w:pPr>
      <w:r>
        <w:t xml:space="preserve">3GPP </w:t>
      </w:r>
      <w:r w:rsidRPr="004F17DC">
        <w:t>TS 23.501 V15.</w:t>
      </w:r>
      <w:r>
        <w:t>4</w:t>
      </w:r>
      <w:r w:rsidRPr="004F17DC">
        <w:t>.0 (2018-</w:t>
      </w:r>
      <w:r>
        <w:t>12</w:t>
      </w:r>
      <w:r w:rsidRPr="004F17DC">
        <w:t>)</w:t>
      </w:r>
      <w:r>
        <w:t>;</w:t>
      </w:r>
      <w:r w:rsidRPr="004F17DC">
        <w:t xml:space="preserve"> System Architecture for the 5G System</w:t>
      </w:r>
    </w:p>
    <w:p w14:paraId="3ED7946F" w14:textId="77777777" w:rsidR="00420232" w:rsidRDefault="00420232" w:rsidP="00420232">
      <w:pPr>
        <w:pStyle w:val="Reference"/>
      </w:pPr>
      <w:r w:rsidRPr="004F17DC">
        <w:t>3GPP TS 22.186 V16.1.0 (2018-12)</w:t>
      </w:r>
      <w:r>
        <w:t>; Enhancement of 3GPP support for V2X scenarios</w:t>
      </w:r>
    </w:p>
    <w:p w14:paraId="6F663CF0" w14:textId="36A731A4" w:rsidR="00420232" w:rsidRDefault="00420232" w:rsidP="00420232">
      <w:pPr>
        <w:pStyle w:val="Reference"/>
      </w:pPr>
      <w:r w:rsidRPr="000A01B8">
        <w:t>3GPP TR 23.786 V1.0.0 (2018-12)</w:t>
      </w:r>
      <w:r>
        <w:t xml:space="preserve">; </w:t>
      </w:r>
      <w:r w:rsidRPr="000A01B8">
        <w:t>Study on architecture enhancements for EPS and 5G System to support advanced V2X services</w:t>
      </w:r>
    </w:p>
    <w:p w14:paraId="47283938" w14:textId="6622DE8F" w:rsidR="00DE2358" w:rsidRDefault="00DE2358" w:rsidP="00420232">
      <w:pPr>
        <w:pStyle w:val="Reference"/>
      </w:pPr>
      <w:r w:rsidRPr="00DE2358">
        <w:t>R1-1900006</w:t>
      </w:r>
      <w:r>
        <w:t xml:space="preserve"> (</w:t>
      </w:r>
      <w:r w:rsidRPr="00DE2358">
        <w:t>R3-187252</w:t>
      </w:r>
      <w:r>
        <w:t>), “</w:t>
      </w:r>
      <w:r>
        <w:rPr>
          <w:rFonts w:cs="Arial"/>
          <w:bCs/>
        </w:rPr>
        <w:t xml:space="preserve">Reply LS on TSN requirements evaluation”, RAN3#102, </w:t>
      </w:r>
      <w:r w:rsidRPr="00B42C6F">
        <w:t>November 2018</w:t>
      </w:r>
      <w:r>
        <w:t>.</w:t>
      </w:r>
    </w:p>
    <w:p w14:paraId="62C0F1D5" w14:textId="14E9839C" w:rsidR="000F40EC" w:rsidRDefault="000F40EC" w:rsidP="00420232">
      <w:pPr>
        <w:pStyle w:val="Reference"/>
      </w:pPr>
      <w:r w:rsidRPr="000F40EC">
        <w:t>R1-1900167</w:t>
      </w:r>
      <w:r>
        <w:t>, “</w:t>
      </w:r>
      <w:r w:rsidRPr="000F40EC">
        <w:t>Remaining Details on Evaluation Methodology and Simulation Assumptions for Rel-16 NR URLLC</w:t>
      </w:r>
      <w:r>
        <w:t xml:space="preserve">,” </w:t>
      </w:r>
      <w:r w:rsidRPr="000F40EC">
        <w:t>Ericsson</w:t>
      </w:r>
      <w:r>
        <w:t>.</w:t>
      </w:r>
      <w:bookmarkStart w:id="8" w:name="_GoBack"/>
      <w:bookmarkEnd w:id="8"/>
    </w:p>
    <w:p w14:paraId="70171A66" w14:textId="77777777" w:rsidR="003A7EF3" w:rsidRPr="00CE0424" w:rsidRDefault="003A7EF3" w:rsidP="00CE0424">
      <w:pPr>
        <w:pStyle w:val="BodyText"/>
      </w:pPr>
    </w:p>
    <w:sectPr w:rsidR="003A7EF3" w:rsidRPr="00CE0424" w:rsidSect="00D14E67">
      <w:headerReference w:type="even" r:id="rId8"/>
      <w:footerReference w:type="default" r:id="rId9"/>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21507" w14:textId="77777777" w:rsidR="008E0A46" w:rsidRDefault="008E0A46">
      <w:r>
        <w:separator/>
      </w:r>
    </w:p>
  </w:endnote>
  <w:endnote w:type="continuationSeparator" w:id="0">
    <w:p w14:paraId="71E8CF85" w14:textId="77777777" w:rsidR="008E0A46" w:rsidRDefault="008E0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5DE74" w14:textId="77777777" w:rsidR="008E0A46" w:rsidRDefault="008E0A46">
      <w:r>
        <w:separator/>
      </w:r>
    </w:p>
  </w:footnote>
  <w:footnote w:type="continuationSeparator" w:id="0">
    <w:p w14:paraId="495E9CDA" w14:textId="77777777" w:rsidR="008E0A46" w:rsidRDefault="008E0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0B4F91"/>
    <w:multiLevelType w:val="hybridMultilevel"/>
    <w:tmpl w:val="5BCC0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4E265D"/>
    <w:multiLevelType w:val="hybridMultilevel"/>
    <w:tmpl w:val="BC689966"/>
    <w:lvl w:ilvl="0" w:tplc="15B66D4E">
      <w:start w:val="1"/>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B27956"/>
    <w:multiLevelType w:val="hybridMultilevel"/>
    <w:tmpl w:val="641CF912"/>
    <w:lvl w:ilvl="0" w:tplc="6B82F5D0">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8"/>
  </w:num>
  <w:num w:numId="6">
    <w:abstractNumId w:val="16"/>
  </w:num>
  <w:num w:numId="7">
    <w:abstractNumId w:val="21"/>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3"/>
  </w:num>
  <w:num w:numId="17">
    <w:abstractNumId w:val="5"/>
  </w:num>
  <w:num w:numId="18">
    <w:abstractNumId w:val="6"/>
  </w:num>
  <w:num w:numId="19">
    <w:abstractNumId w:val="4"/>
  </w:num>
  <w:num w:numId="20">
    <w:abstractNumId w:val="26"/>
  </w:num>
  <w:num w:numId="21">
    <w:abstractNumId w:val="10"/>
  </w:num>
  <w:num w:numId="22">
    <w:abstractNumId w:val="25"/>
  </w:num>
  <w:num w:numId="23">
    <w:abstractNumId w:val="15"/>
  </w:num>
  <w:num w:numId="24">
    <w:abstractNumId w:val="15"/>
  </w:num>
  <w:num w:numId="25">
    <w:abstractNumId w:val="24"/>
  </w:num>
  <w:num w:numId="26">
    <w:abstractNumId w:val="22"/>
  </w:num>
  <w:num w:numId="27">
    <w:abstractNumId w:val="20"/>
  </w:num>
  <w:num w:numId="28">
    <w:abstractNumId w:val="11"/>
  </w:num>
  <w:num w:numId="2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0E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0F4C"/>
    <w:rsid w:val="00214DA8"/>
    <w:rsid w:val="00215423"/>
    <w:rsid w:val="002158FA"/>
    <w:rsid w:val="0021620C"/>
    <w:rsid w:val="00220600"/>
    <w:rsid w:val="002224DB"/>
    <w:rsid w:val="00223FCB"/>
    <w:rsid w:val="002252C3"/>
    <w:rsid w:val="00225C54"/>
    <w:rsid w:val="00230765"/>
    <w:rsid w:val="00230D18"/>
    <w:rsid w:val="002319E4"/>
    <w:rsid w:val="00235632"/>
    <w:rsid w:val="00235872"/>
    <w:rsid w:val="00241559"/>
    <w:rsid w:val="002435B3"/>
    <w:rsid w:val="002458EB"/>
    <w:rsid w:val="002478CC"/>
    <w:rsid w:val="002500C8"/>
    <w:rsid w:val="002550D1"/>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E36"/>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48A"/>
    <w:rsid w:val="00301CE6"/>
    <w:rsid w:val="0030256B"/>
    <w:rsid w:val="0030501F"/>
    <w:rsid w:val="00307BA1"/>
    <w:rsid w:val="00311702"/>
    <w:rsid w:val="00311E82"/>
    <w:rsid w:val="00313FD6"/>
    <w:rsid w:val="003143BD"/>
    <w:rsid w:val="00315363"/>
    <w:rsid w:val="003203ED"/>
    <w:rsid w:val="00322C9F"/>
    <w:rsid w:val="0032397C"/>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023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384E"/>
    <w:rsid w:val="00492BC5"/>
    <w:rsid w:val="004964F1"/>
    <w:rsid w:val="004A16BC"/>
    <w:rsid w:val="004A2B94"/>
    <w:rsid w:val="004B6F6A"/>
    <w:rsid w:val="004B7C0C"/>
    <w:rsid w:val="004C3898"/>
    <w:rsid w:val="004C41CE"/>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02A"/>
    <w:rsid w:val="005153A7"/>
    <w:rsid w:val="005219CF"/>
    <w:rsid w:val="0053320F"/>
    <w:rsid w:val="00534B59"/>
    <w:rsid w:val="00536759"/>
    <w:rsid w:val="00537C62"/>
    <w:rsid w:val="00546970"/>
    <w:rsid w:val="00551A98"/>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B7576"/>
    <w:rsid w:val="005C74FB"/>
    <w:rsid w:val="005C76B1"/>
    <w:rsid w:val="005D12E4"/>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0BA9"/>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0254"/>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1DB3"/>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76D"/>
    <w:rsid w:val="00875CD7"/>
    <w:rsid w:val="00876B4D"/>
    <w:rsid w:val="00877F18"/>
    <w:rsid w:val="008941E3"/>
    <w:rsid w:val="00894A88"/>
    <w:rsid w:val="00895386"/>
    <w:rsid w:val="008A21FF"/>
    <w:rsid w:val="008A2CE2"/>
    <w:rsid w:val="008A30AC"/>
    <w:rsid w:val="008A43AE"/>
    <w:rsid w:val="008A44B8"/>
    <w:rsid w:val="008A51A8"/>
    <w:rsid w:val="008A54C7"/>
    <w:rsid w:val="008A77D8"/>
    <w:rsid w:val="008B0483"/>
    <w:rsid w:val="008B120C"/>
    <w:rsid w:val="008B51A0"/>
    <w:rsid w:val="008B592A"/>
    <w:rsid w:val="008B7B5C"/>
    <w:rsid w:val="008C0C99"/>
    <w:rsid w:val="008C2017"/>
    <w:rsid w:val="008C2518"/>
    <w:rsid w:val="008C4958"/>
    <w:rsid w:val="008C4BAA"/>
    <w:rsid w:val="008C6AE8"/>
    <w:rsid w:val="008C7573"/>
    <w:rsid w:val="008D00A5"/>
    <w:rsid w:val="008D34F1"/>
    <w:rsid w:val="008D39D8"/>
    <w:rsid w:val="008D6D1A"/>
    <w:rsid w:val="008E065E"/>
    <w:rsid w:val="008E0927"/>
    <w:rsid w:val="008E0A46"/>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6AC9"/>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3051"/>
    <w:rsid w:val="009D4FF0"/>
    <w:rsid w:val="009D703C"/>
    <w:rsid w:val="009D718F"/>
    <w:rsid w:val="009E068F"/>
    <w:rsid w:val="009E14E0"/>
    <w:rsid w:val="009E1BB6"/>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61ED"/>
    <w:rsid w:val="00A61499"/>
    <w:rsid w:val="00A62A77"/>
    <w:rsid w:val="00A63483"/>
    <w:rsid w:val="00A657D7"/>
    <w:rsid w:val="00A660AC"/>
    <w:rsid w:val="00A67E6C"/>
    <w:rsid w:val="00A71B99"/>
    <w:rsid w:val="00A739D0"/>
    <w:rsid w:val="00A761D4"/>
    <w:rsid w:val="00A77EC4"/>
    <w:rsid w:val="00A8512B"/>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62B3"/>
    <w:rsid w:val="00AF7476"/>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2C6F"/>
    <w:rsid w:val="00B45A52"/>
    <w:rsid w:val="00B46175"/>
    <w:rsid w:val="00B548B7"/>
    <w:rsid w:val="00B664C7"/>
    <w:rsid w:val="00B7176F"/>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6CC"/>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125"/>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73A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E67"/>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758"/>
    <w:rsid w:val="00D9196D"/>
    <w:rsid w:val="00D92982"/>
    <w:rsid w:val="00DA305E"/>
    <w:rsid w:val="00DA5417"/>
    <w:rsid w:val="00DA56E8"/>
    <w:rsid w:val="00DB0A9F"/>
    <w:rsid w:val="00DB377D"/>
    <w:rsid w:val="00DC2D36"/>
    <w:rsid w:val="00DC53EF"/>
    <w:rsid w:val="00DE2358"/>
    <w:rsid w:val="00DE5608"/>
    <w:rsid w:val="00DE58D0"/>
    <w:rsid w:val="00DE654F"/>
    <w:rsid w:val="00DE6CAC"/>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3C86"/>
    <w:rsid w:val="00E54E3B"/>
    <w:rsid w:val="00E57565"/>
    <w:rsid w:val="00E63838"/>
    <w:rsid w:val="00E63A60"/>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0E5"/>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7DB"/>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6D915"/>
  <w15:chartTrackingRefBased/>
  <w15:docId w15:val="{50E15F5C-B2A6-48EB-9C0A-91364FF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500468">
      <w:bodyDiv w:val="1"/>
      <w:marLeft w:val="0"/>
      <w:marRight w:val="0"/>
      <w:marTop w:val="0"/>
      <w:marBottom w:val="0"/>
      <w:divBdr>
        <w:top w:val="none" w:sz="0" w:space="0" w:color="auto"/>
        <w:left w:val="none" w:sz="0" w:space="0" w:color="auto"/>
        <w:bottom w:val="none" w:sz="0" w:space="0" w:color="auto"/>
        <w:right w:val="none" w:sz="0" w:space="0" w:color="auto"/>
      </w:divBdr>
    </w:div>
    <w:div w:id="374428506">
      <w:bodyDiv w:val="1"/>
      <w:marLeft w:val="0"/>
      <w:marRight w:val="0"/>
      <w:marTop w:val="0"/>
      <w:marBottom w:val="0"/>
      <w:divBdr>
        <w:top w:val="none" w:sz="0" w:space="0" w:color="auto"/>
        <w:left w:val="none" w:sz="0" w:space="0" w:color="auto"/>
        <w:bottom w:val="none" w:sz="0" w:space="0" w:color="auto"/>
        <w:right w:val="none" w:sz="0" w:space="0" w:color="auto"/>
      </w:divBdr>
    </w:div>
    <w:div w:id="989795815">
      <w:bodyDiv w:val="1"/>
      <w:marLeft w:val="0"/>
      <w:marRight w:val="0"/>
      <w:marTop w:val="0"/>
      <w:marBottom w:val="0"/>
      <w:divBdr>
        <w:top w:val="none" w:sz="0" w:space="0" w:color="auto"/>
        <w:left w:val="none" w:sz="0" w:space="0" w:color="auto"/>
        <w:bottom w:val="none" w:sz="0" w:space="0" w:color="auto"/>
        <w:right w:val="none" w:sz="0" w:space="0" w:color="auto"/>
      </w:divBdr>
    </w:div>
    <w:div w:id="1005551059">
      <w:bodyDiv w:val="1"/>
      <w:marLeft w:val="0"/>
      <w:marRight w:val="0"/>
      <w:marTop w:val="0"/>
      <w:marBottom w:val="0"/>
      <w:divBdr>
        <w:top w:val="none" w:sz="0" w:space="0" w:color="auto"/>
        <w:left w:val="none" w:sz="0" w:space="0" w:color="auto"/>
        <w:bottom w:val="none" w:sz="0" w:space="0" w:color="auto"/>
        <w:right w:val="none" w:sz="0" w:space="0" w:color="auto"/>
      </w:divBdr>
    </w:div>
    <w:div w:id="1079641580">
      <w:bodyDiv w:val="1"/>
      <w:marLeft w:val="0"/>
      <w:marRight w:val="0"/>
      <w:marTop w:val="0"/>
      <w:marBottom w:val="0"/>
      <w:divBdr>
        <w:top w:val="none" w:sz="0" w:space="0" w:color="auto"/>
        <w:left w:val="none" w:sz="0" w:space="0" w:color="auto"/>
        <w:bottom w:val="none" w:sz="0" w:space="0" w:color="auto"/>
        <w:right w:val="none" w:sz="0" w:space="0" w:color="auto"/>
      </w:divBdr>
    </w:div>
    <w:div w:id="1218399291">
      <w:bodyDiv w:val="1"/>
      <w:marLeft w:val="0"/>
      <w:marRight w:val="0"/>
      <w:marTop w:val="0"/>
      <w:marBottom w:val="0"/>
      <w:divBdr>
        <w:top w:val="none" w:sz="0" w:space="0" w:color="auto"/>
        <w:left w:val="none" w:sz="0" w:space="0" w:color="auto"/>
        <w:bottom w:val="none" w:sz="0" w:space="0" w:color="auto"/>
        <w:right w:val="none" w:sz="0" w:space="0" w:color="auto"/>
      </w:divBdr>
    </w:div>
    <w:div w:id="1688024118">
      <w:bodyDiv w:val="1"/>
      <w:marLeft w:val="0"/>
      <w:marRight w:val="0"/>
      <w:marTop w:val="0"/>
      <w:marBottom w:val="0"/>
      <w:divBdr>
        <w:top w:val="none" w:sz="0" w:space="0" w:color="auto"/>
        <w:left w:val="none" w:sz="0" w:space="0" w:color="auto"/>
        <w:bottom w:val="none" w:sz="0" w:space="0" w:color="auto"/>
        <w:right w:val="none" w:sz="0" w:space="0" w:color="auto"/>
      </w:divBdr>
    </w:div>
    <w:div w:id="1910841136">
      <w:bodyDiv w:val="1"/>
      <w:marLeft w:val="0"/>
      <w:marRight w:val="0"/>
      <w:marTop w:val="0"/>
      <w:marBottom w:val="0"/>
      <w:divBdr>
        <w:top w:val="none" w:sz="0" w:space="0" w:color="auto"/>
        <w:left w:val="none" w:sz="0" w:space="0" w:color="auto"/>
        <w:bottom w:val="none" w:sz="0" w:space="0" w:color="auto"/>
        <w:right w:val="none" w:sz="0" w:space="0" w:color="auto"/>
      </w:divBdr>
    </w:div>
    <w:div w:id="198300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A2F5B-37B4-40C3-AAD1-56E1AFD3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201</TotalTime>
  <Pages>4</Pages>
  <Words>1340</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8967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20</cp:revision>
  <cp:lastPrinted>2008-01-31T07:09:00Z</cp:lastPrinted>
  <dcterms:created xsi:type="dcterms:W3CDTF">2018-10-25T14:29:00Z</dcterms:created>
  <dcterms:modified xsi:type="dcterms:W3CDTF">2019-01-11T18:43:00Z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